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9D4BE" w14:textId="77777777" w:rsidR="009361C6" w:rsidRDefault="009361C6">
      <w:pPr>
        <w:pStyle w:val="BodyText"/>
        <w:spacing w:before="2"/>
        <w:rPr>
          <w:sz w:val="10"/>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1"/>
        <w:gridCol w:w="4101"/>
        <w:gridCol w:w="1440"/>
        <w:gridCol w:w="1440"/>
      </w:tblGrid>
      <w:tr w:rsidR="00BA754A" w14:paraId="0FE94677" w14:textId="0FC97129" w:rsidTr="00A7120A">
        <w:trPr>
          <w:trHeight w:val="585"/>
        </w:trPr>
        <w:tc>
          <w:tcPr>
            <w:tcW w:w="7522" w:type="dxa"/>
            <w:gridSpan w:val="3"/>
            <w:tcBorders>
              <w:top w:val="single" w:sz="4" w:space="0" w:color="auto"/>
              <w:left w:val="single" w:sz="4" w:space="0" w:color="auto"/>
              <w:bottom w:val="single" w:sz="4" w:space="0" w:color="auto"/>
              <w:right w:val="nil"/>
            </w:tcBorders>
          </w:tcPr>
          <w:p w14:paraId="2DF7A107" w14:textId="49725748" w:rsidR="00BA754A" w:rsidRDefault="00BA754A" w:rsidP="00A7120A">
            <w:pPr>
              <w:pStyle w:val="TableParagraph"/>
              <w:spacing w:before="80"/>
              <w:ind w:left="1109" w:right="1097"/>
              <w:jc w:val="center"/>
              <w:rPr>
                <w:b/>
              </w:rPr>
            </w:pPr>
            <w:r>
              <w:rPr>
                <w:b/>
                <w:color w:val="181818"/>
                <w:w w:val="105"/>
              </w:rPr>
              <w:t xml:space="preserve">Final Priority Scoring Criteria for Community Flood Mitigation Projects </w:t>
            </w:r>
            <w:r>
              <w:rPr>
                <w:color w:val="181818"/>
                <w:w w:val="105"/>
              </w:rPr>
              <w:t>&amp;</w:t>
            </w:r>
            <w:r w:rsidR="00A7120A">
              <w:rPr>
                <w:color w:val="181818"/>
                <w:w w:val="105"/>
              </w:rPr>
              <w:t xml:space="preserve"> </w:t>
            </w:r>
            <w:r>
              <w:rPr>
                <w:b/>
                <w:color w:val="181818"/>
              </w:rPr>
              <w:t>Project Scopin</w:t>
            </w:r>
            <w:r w:rsidR="00161A6F">
              <w:rPr>
                <w:b/>
                <w:color w:val="181818"/>
              </w:rPr>
              <w:t>g</w:t>
            </w:r>
            <w:bookmarkStart w:id="0" w:name="_GoBack"/>
            <w:bookmarkEnd w:id="0"/>
            <w:r>
              <w:rPr>
                <w:b/>
                <w:color w:val="181818"/>
              </w:rPr>
              <w:t>:</w:t>
            </w:r>
          </w:p>
        </w:tc>
        <w:tc>
          <w:tcPr>
            <w:tcW w:w="1440" w:type="dxa"/>
            <w:tcBorders>
              <w:left w:val="nil"/>
            </w:tcBorders>
          </w:tcPr>
          <w:p w14:paraId="3E06DE7A" w14:textId="77777777" w:rsidR="00BA754A" w:rsidRDefault="00BA754A">
            <w:pPr>
              <w:pStyle w:val="TableParagraph"/>
              <w:spacing w:before="80"/>
              <w:ind w:left="1109" w:right="1097"/>
              <w:jc w:val="center"/>
              <w:rPr>
                <w:b/>
                <w:color w:val="181818"/>
                <w:w w:val="105"/>
              </w:rPr>
            </w:pPr>
          </w:p>
        </w:tc>
      </w:tr>
      <w:tr w:rsidR="00BA754A" w14:paraId="53963A5A" w14:textId="2891CB15" w:rsidTr="00A7120A">
        <w:trPr>
          <w:trHeight w:val="480"/>
        </w:trPr>
        <w:tc>
          <w:tcPr>
            <w:tcW w:w="1981" w:type="dxa"/>
            <w:tcBorders>
              <w:top w:val="single" w:sz="4" w:space="0" w:color="auto"/>
              <w:left w:val="single" w:sz="2" w:space="0" w:color="000000"/>
              <w:right w:val="single" w:sz="2" w:space="0" w:color="000000"/>
            </w:tcBorders>
          </w:tcPr>
          <w:p w14:paraId="0340EA32" w14:textId="77777777" w:rsidR="00BA754A" w:rsidRDefault="00BA754A">
            <w:pPr>
              <w:pStyle w:val="TableParagraph"/>
              <w:spacing w:before="85"/>
              <w:ind w:left="614"/>
              <w:rPr>
                <w:b/>
              </w:rPr>
            </w:pPr>
            <w:r>
              <w:rPr>
                <w:b/>
                <w:color w:val="181818"/>
                <w:w w:val="105"/>
              </w:rPr>
              <w:t>Priority</w:t>
            </w:r>
          </w:p>
        </w:tc>
        <w:tc>
          <w:tcPr>
            <w:tcW w:w="4101" w:type="dxa"/>
            <w:tcBorders>
              <w:top w:val="single" w:sz="4" w:space="0" w:color="auto"/>
              <w:left w:val="single" w:sz="2" w:space="0" w:color="000000"/>
            </w:tcBorders>
          </w:tcPr>
          <w:p w14:paraId="6C654505" w14:textId="5F1141AD" w:rsidR="00BA754A" w:rsidRPr="00A7120A" w:rsidRDefault="00BA754A" w:rsidP="00A7120A">
            <w:pPr>
              <w:jc w:val="center"/>
              <w:rPr>
                <w:rStyle w:val="Strong"/>
              </w:rPr>
            </w:pPr>
            <w:r w:rsidRPr="00A7120A">
              <w:rPr>
                <w:rStyle w:val="Strong"/>
              </w:rPr>
              <w:t>Description</w:t>
            </w:r>
          </w:p>
        </w:tc>
        <w:tc>
          <w:tcPr>
            <w:tcW w:w="1440" w:type="dxa"/>
            <w:tcBorders>
              <w:top w:val="single" w:sz="4" w:space="0" w:color="auto"/>
            </w:tcBorders>
          </w:tcPr>
          <w:p w14:paraId="0415CE41" w14:textId="77777777" w:rsidR="00BA754A" w:rsidRDefault="00BA754A">
            <w:pPr>
              <w:pStyle w:val="TableParagraph"/>
              <w:spacing w:before="18"/>
              <w:ind w:left="204" w:right="195"/>
              <w:jc w:val="center"/>
              <w:rPr>
                <w:b/>
              </w:rPr>
            </w:pPr>
            <w:r>
              <w:rPr>
                <w:b/>
                <w:color w:val="181818"/>
                <w:w w:val="105"/>
              </w:rPr>
              <w:t>Total Points</w:t>
            </w:r>
          </w:p>
        </w:tc>
        <w:tc>
          <w:tcPr>
            <w:tcW w:w="1440" w:type="dxa"/>
          </w:tcPr>
          <w:p w14:paraId="7C28B985" w14:textId="0C622AC9" w:rsidR="00BA754A" w:rsidRPr="004B6C2C" w:rsidRDefault="004B6C2C" w:rsidP="004B6C2C">
            <w:pPr>
              <w:pStyle w:val="TableParagraph"/>
              <w:spacing w:before="18"/>
              <w:ind w:left="204"/>
              <w:jc w:val="center"/>
              <w:rPr>
                <w:b/>
                <w:color w:val="181818"/>
                <w:w w:val="105"/>
              </w:rPr>
            </w:pPr>
            <w:r w:rsidRPr="004B6C2C">
              <w:rPr>
                <w:b/>
                <w:color w:val="181818"/>
                <w:w w:val="105"/>
              </w:rPr>
              <w:t>Community Points</w:t>
            </w:r>
          </w:p>
        </w:tc>
      </w:tr>
      <w:tr w:rsidR="00BA754A" w14:paraId="306A3B34" w14:textId="41621BCD" w:rsidTr="00497AEC">
        <w:trPr>
          <w:trHeight w:val="1061"/>
        </w:trPr>
        <w:tc>
          <w:tcPr>
            <w:tcW w:w="1981" w:type="dxa"/>
          </w:tcPr>
          <w:p w14:paraId="45496503" w14:textId="77777777" w:rsidR="00BA754A" w:rsidRDefault="00BA754A">
            <w:pPr>
              <w:pStyle w:val="TableParagraph"/>
              <w:spacing w:before="85" w:line="252" w:lineRule="auto"/>
              <w:ind w:left="116" w:right="568" w:firstLine="1"/>
              <w:jc w:val="both"/>
            </w:pPr>
            <w:r>
              <w:rPr>
                <w:color w:val="181818"/>
                <w:w w:val="105"/>
              </w:rPr>
              <w:t>NFIP Insured Multiple</w:t>
            </w:r>
            <w:r>
              <w:rPr>
                <w:color w:val="181818"/>
                <w:spacing w:val="-16"/>
                <w:w w:val="105"/>
              </w:rPr>
              <w:t xml:space="preserve"> </w:t>
            </w:r>
            <w:r>
              <w:rPr>
                <w:color w:val="181818"/>
                <w:w w:val="105"/>
              </w:rPr>
              <w:t>Loss Communities</w:t>
            </w:r>
          </w:p>
        </w:tc>
        <w:tc>
          <w:tcPr>
            <w:tcW w:w="4101" w:type="dxa"/>
          </w:tcPr>
          <w:p w14:paraId="2BB50785" w14:textId="77777777" w:rsidR="00BA754A" w:rsidRDefault="00BA754A">
            <w:pPr>
              <w:pStyle w:val="TableParagraph"/>
              <w:spacing w:before="18" w:line="252" w:lineRule="auto"/>
              <w:ind w:left="116" w:right="72" w:hanging="1"/>
            </w:pPr>
            <w:r>
              <w:rPr>
                <w:color w:val="181818"/>
                <w:w w:val="105"/>
              </w:rPr>
              <w:t>Communities with 50 or more Repetitive Loss (RL) or Severe Repetitive Loss (SRL) structures and have received NFIP</w:t>
            </w:r>
          </w:p>
          <w:p w14:paraId="5AEE5494" w14:textId="77777777" w:rsidR="00BA754A" w:rsidRDefault="00BA754A">
            <w:pPr>
              <w:pStyle w:val="TableParagraph"/>
              <w:spacing w:line="260" w:lineRule="atLeast"/>
              <w:ind w:left="117" w:right="72" w:hanging="1"/>
            </w:pPr>
            <w:r>
              <w:rPr>
                <w:color w:val="181818"/>
                <w:w w:val="105"/>
              </w:rPr>
              <w:t>claims in a county that has received an Individual Assistance declaration for flood in the past 10 years.</w:t>
            </w:r>
          </w:p>
        </w:tc>
        <w:tc>
          <w:tcPr>
            <w:tcW w:w="1440" w:type="dxa"/>
          </w:tcPr>
          <w:p w14:paraId="042F94C0" w14:textId="77777777" w:rsidR="00BA754A" w:rsidRDefault="00BA754A">
            <w:pPr>
              <w:pStyle w:val="TableParagraph"/>
              <w:spacing w:before="22"/>
              <w:ind w:left="204" w:right="176"/>
              <w:jc w:val="center"/>
            </w:pPr>
            <w:r>
              <w:rPr>
                <w:color w:val="181818"/>
                <w:w w:val="105"/>
              </w:rPr>
              <w:t>Up to 200</w:t>
            </w:r>
          </w:p>
        </w:tc>
        <w:tc>
          <w:tcPr>
            <w:tcW w:w="1440" w:type="dxa"/>
          </w:tcPr>
          <w:p w14:paraId="6BD1644E" w14:textId="77777777" w:rsidR="00BA754A" w:rsidRDefault="00BA754A">
            <w:pPr>
              <w:pStyle w:val="TableParagraph"/>
              <w:spacing w:before="22"/>
              <w:ind w:left="204" w:right="176"/>
              <w:jc w:val="center"/>
              <w:rPr>
                <w:color w:val="181818"/>
                <w:w w:val="105"/>
              </w:rPr>
            </w:pPr>
          </w:p>
        </w:tc>
      </w:tr>
      <w:tr w:rsidR="00BA754A" w14:paraId="45DFE0E1" w14:textId="5B02068F" w:rsidTr="00497AEC">
        <w:trPr>
          <w:trHeight w:val="1309"/>
        </w:trPr>
        <w:tc>
          <w:tcPr>
            <w:tcW w:w="1981" w:type="dxa"/>
          </w:tcPr>
          <w:p w14:paraId="766E0F3B" w14:textId="77777777" w:rsidR="00BA754A" w:rsidRDefault="00BA754A">
            <w:pPr>
              <w:pStyle w:val="TableParagraph"/>
              <w:spacing w:before="77" w:line="247" w:lineRule="auto"/>
              <w:ind w:right="217" w:hanging="8"/>
            </w:pPr>
            <w:r>
              <w:rPr>
                <w:color w:val="181818"/>
                <w:w w:val="105"/>
              </w:rPr>
              <w:t>NFIP Policy Holder</w:t>
            </w:r>
          </w:p>
        </w:tc>
        <w:tc>
          <w:tcPr>
            <w:tcW w:w="4101" w:type="dxa"/>
          </w:tcPr>
          <w:p w14:paraId="774B465D" w14:textId="77777777" w:rsidR="00BA754A" w:rsidRDefault="00BA754A">
            <w:pPr>
              <w:pStyle w:val="TableParagraph"/>
              <w:spacing w:before="10" w:line="252" w:lineRule="auto"/>
              <w:ind w:left="115" w:right="72" w:firstLine="5"/>
            </w:pPr>
            <w:r>
              <w:rPr>
                <w:color w:val="181818"/>
                <w:w w:val="105"/>
              </w:rPr>
              <w:t>Points will be assessed for every NFIP policy that is active as of the FMA application start date (Section D, Application and Submission Information, Key Dates and Times) and is verified within the benefitting area of the project.</w:t>
            </w:r>
          </w:p>
          <w:p w14:paraId="1DD74869" w14:textId="77777777" w:rsidR="00BA754A" w:rsidRDefault="00BA754A">
            <w:pPr>
              <w:pStyle w:val="TableParagraph"/>
              <w:spacing w:line="216" w:lineRule="exact"/>
              <w:ind w:left="115"/>
            </w:pPr>
            <w:r>
              <w:rPr>
                <w:color w:val="181818"/>
                <w:w w:val="105"/>
              </w:rPr>
              <w:t>(5 per NFIP Policy).</w:t>
            </w:r>
          </w:p>
        </w:tc>
        <w:tc>
          <w:tcPr>
            <w:tcW w:w="1440" w:type="dxa"/>
          </w:tcPr>
          <w:p w14:paraId="6701A9E7" w14:textId="77777777" w:rsidR="00BA754A" w:rsidRDefault="00BA754A">
            <w:pPr>
              <w:pStyle w:val="TableParagraph"/>
              <w:spacing w:before="5" w:line="254" w:lineRule="auto"/>
              <w:ind w:left="110" w:right="145" w:hanging="3"/>
            </w:pPr>
            <w:r>
              <w:rPr>
                <w:color w:val="181818"/>
                <w:w w:val="105"/>
              </w:rPr>
              <w:t>5 x Each NFIP Policy</w:t>
            </w:r>
          </w:p>
        </w:tc>
        <w:tc>
          <w:tcPr>
            <w:tcW w:w="1440" w:type="dxa"/>
          </w:tcPr>
          <w:p w14:paraId="77C29076" w14:textId="77777777" w:rsidR="00BA754A" w:rsidRDefault="00BA754A">
            <w:pPr>
              <w:pStyle w:val="TableParagraph"/>
              <w:spacing w:before="5" w:line="254" w:lineRule="auto"/>
              <w:ind w:left="110" w:right="145" w:hanging="3"/>
              <w:rPr>
                <w:color w:val="181818"/>
                <w:w w:val="105"/>
              </w:rPr>
            </w:pPr>
          </w:p>
        </w:tc>
      </w:tr>
      <w:tr w:rsidR="00BA754A" w14:paraId="4F8E2C76" w14:textId="7E2CEA03" w:rsidTr="00497AEC">
        <w:trPr>
          <w:trHeight w:val="1119"/>
        </w:trPr>
        <w:tc>
          <w:tcPr>
            <w:tcW w:w="1981" w:type="dxa"/>
          </w:tcPr>
          <w:p w14:paraId="38C2E909" w14:textId="77777777" w:rsidR="00BA754A" w:rsidRDefault="00BA754A">
            <w:pPr>
              <w:pStyle w:val="TableParagraph"/>
              <w:spacing w:before="94" w:line="252" w:lineRule="auto"/>
              <w:ind w:right="217"/>
            </w:pPr>
            <w:r>
              <w:rPr>
                <w:color w:val="181818"/>
                <w:w w:val="105"/>
              </w:rPr>
              <w:t>Severe</w:t>
            </w:r>
            <w:r>
              <w:rPr>
                <w:color w:val="181818"/>
                <w:spacing w:val="-27"/>
                <w:w w:val="105"/>
              </w:rPr>
              <w:t xml:space="preserve"> </w:t>
            </w:r>
            <w:r>
              <w:rPr>
                <w:color w:val="181818"/>
                <w:w w:val="105"/>
              </w:rPr>
              <w:t>Repetitive Loss (SRL) and Repetitive</w:t>
            </w:r>
            <w:r>
              <w:rPr>
                <w:color w:val="181818"/>
                <w:spacing w:val="1"/>
                <w:w w:val="105"/>
              </w:rPr>
              <w:t xml:space="preserve"> </w:t>
            </w:r>
            <w:r>
              <w:rPr>
                <w:color w:val="181818"/>
                <w:w w:val="105"/>
              </w:rPr>
              <w:t>Loss</w:t>
            </w:r>
          </w:p>
          <w:p w14:paraId="2872DB2F" w14:textId="77777777" w:rsidR="00BA754A" w:rsidRDefault="00BA754A">
            <w:pPr>
              <w:pStyle w:val="TableParagraph"/>
              <w:spacing w:line="208" w:lineRule="exact"/>
            </w:pPr>
            <w:r>
              <w:rPr>
                <w:color w:val="181818"/>
                <w:w w:val="105"/>
              </w:rPr>
              <w:t>(RL)</w:t>
            </w:r>
            <w:r>
              <w:rPr>
                <w:color w:val="181818"/>
                <w:spacing w:val="-30"/>
                <w:w w:val="105"/>
              </w:rPr>
              <w:t xml:space="preserve"> </w:t>
            </w:r>
            <w:r>
              <w:rPr>
                <w:color w:val="181818"/>
                <w:w w:val="105"/>
              </w:rPr>
              <w:t>Properties</w:t>
            </w:r>
          </w:p>
        </w:tc>
        <w:tc>
          <w:tcPr>
            <w:tcW w:w="4101" w:type="dxa"/>
          </w:tcPr>
          <w:p w14:paraId="594F568A" w14:textId="77777777" w:rsidR="00BA754A" w:rsidRDefault="00BA754A">
            <w:pPr>
              <w:pStyle w:val="TableParagraph"/>
              <w:spacing w:before="32" w:line="252" w:lineRule="auto"/>
              <w:ind w:left="115" w:right="164" w:firstLine="10"/>
              <w:jc w:val="both"/>
            </w:pPr>
            <w:r>
              <w:rPr>
                <w:color w:val="181818"/>
                <w:w w:val="105"/>
              </w:rPr>
              <w:t>Points</w:t>
            </w:r>
            <w:r>
              <w:rPr>
                <w:color w:val="181818"/>
                <w:spacing w:val="-4"/>
                <w:w w:val="105"/>
              </w:rPr>
              <w:t xml:space="preserve"> </w:t>
            </w:r>
            <w:r>
              <w:rPr>
                <w:color w:val="181818"/>
                <w:w w:val="105"/>
              </w:rPr>
              <w:t>will</w:t>
            </w:r>
            <w:r>
              <w:rPr>
                <w:color w:val="181818"/>
                <w:spacing w:val="3"/>
                <w:w w:val="105"/>
              </w:rPr>
              <w:t xml:space="preserve"> </w:t>
            </w:r>
            <w:r>
              <w:rPr>
                <w:color w:val="181818"/>
                <w:w w:val="105"/>
              </w:rPr>
              <w:t>be</w:t>
            </w:r>
            <w:r>
              <w:rPr>
                <w:color w:val="181818"/>
                <w:spacing w:val="-15"/>
                <w:w w:val="105"/>
              </w:rPr>
              <w:t xml:space="preserve"> </w:t>
            </w:r>
            <w:r>
              <w:rPr>
                <w:color w:val="181818"/>
                <w:w w:val="105"/>
              </w:rPr>
              <w:t>assessed</w:t>
            </w:r>
            <w:r>
              <w:rPr>
                <w:color w:val="181818"/>
                <w:spacing w:val="5"/>
                <w:w w:val="105"/>
              </w:rPr>
              <w:t xml:space="preserve"> </w:t>
            </w:r>
            <w:r>
              <w:rPr>
                <w:color w:val="181818"/>
                <w:w w:val="105"/>
              </w:rPr>
              <w:t>for</w:t>
            </w:r>
            <w:r>
              <w:rPr>
                <w:color w:val="181818"/>
                <w:spacing w:val="-10"/>
                <w:w w:val="105"/>
              </w:rPr>
              <w:t xml:space="preserve"> </w:t>
            </w:r>
            <w:r>
              <w:rPr>
                <w:color w:val="181818"/>
                <w:w w:val="105"/>
              </w:rPr>
              <w:t>SRL</w:t>
            </w:r>
            <w:r>
              <w:rPr>
                <w:color w:val="181818"/>
                <w:spacing w:val="-8"/>
                <w:w w:val="105"/>
              </w:rPr>
              <w:t xml:space="preserve"> </w:t>
            </w:r>
            <w:r>
              <w:rPr>
                <w:color w:val="181818"/>
                <w:w w:val="105"/>
              </w:rPr>
              <w:t>or</w:t>
            </w:r>
            <w:r>
              <w:rPr>
                <w:color w:val="181818"/>
                <w:spacing w:val="-10"/>
                <w:w w:val="105"/>
              </w:rPr>
              <w:t xml:space="preserve"> </w:t>
            </w:r>
            <w:r>
              <w:rPr>
                <w:color w:val="181818"/>
                <w:w w:val="105"/>
              </w:rPr>
              <w:t>RL</w:t>
            </w:r>
            <w:r>
              <w:rPr>
                <w:color w:val="181818"/>
                <w:spacing w:val="-7"/>
                <w:w w:val="105"/>
              </w:rPr>
              <w:t xml:space="preserve"> </w:t>
            </w:r>
            <w:r>
              <w:rPr>
                <w:color w:val="181818"/>
                <w:w w:val="105"/>
              </w:rPr>
              <w:t>structure that is</w:t>
            </w:r>
            <w:r>
              <w:rPr>
                <w:color w:val="181818"/>
                <w:spacing w:val="-12"/>
                <w:w w:val="105"/>
              </w:rPr>
              <w:t xml:space="preserve"> </w:t>
            </w:r>
            <w:r>
              <w:rPr>
                <w:color w:val="181818"/>
                <w:w w:val="105"/>
              </w:rPr>
              <w:t>verified within the benefitting area of the project (5 per RL and 10 per SRL</w:t>
            </w:r>
            <w:r>
              <w:rPr>
                <w:color w:val="181818"/>
                <w:spacing w:val="3"/>
                <w:w w:val="105"/>
              </w:rPr>
              <w:t xml:space="preserve"> </w:t>
            </w:r>
            <w:r>
              <w:rPr>
                <w:color w:val="181818"/>
                <w:w w:val="105"/>
              </w:rPr>
              <w:t>property).</w:t>
            </w:r>
          </w:p>
        </w:tc>
        <w:tc>
          <w:tcPr>
            <w:tcW w:w="1440" w:type="dxa"/>
          </w:tcPr>
          <w:p w14:paraId="53B7DC60" w14:textId="77777777" w:rsidR="00BA754A" w:rsidRDefault="00BA754A">
            <w:pPr>
              <w:pStyle w:val="TableParagraph"/>
              <w:spacing w:before="27" w:line="252" w:lineRule="auto"/>
              <w:ind w:left="112" w:right="149"/>
            </w:pPr>
            <w:r>
              <w:rPr>
                <w:color w:val="181818"/>
                <w:w w:val="105"/>
              </w:rPr>
              <w:t>5 x each RL 10 x each</w:t>
            </w:r>
            <w:r>
              <w:rPr>
                <w:color w:val="181818"/>
                <w:spacing w:val="1"/>
                <w:w w:val="105"/>
              </w:rPr>
              <w:t xml:space="preserve"> </w:t>
            </w:r>
            <w:r>
              <w:rPr>
                <w:color w:val="181818"/>
                <w:w w:val="105"/>
              </w:rPr>
              <w:t>SRL</w:t>
            </w:r>
          </w:p>
        </w:tc>
        <w:tc>
          <w:tcPr>
            <w:tcW w:w="1440" w:type="dxa"/>
          </w:tcPr>
          <w:p w14:paraId="1C1A6BB4" w14:textId="77777777" w:rsidR="00BA754A" w:rsidRDefault="00BA754A">
            <w:pPr>
              <w:pStyle w:val="TableParagraph"/>
              <w:spacing w:before="27" w:line="252" w:lineRule="auto"/>
              <w:ind w:left="112" w:right="149"/>
              <w:rPr>
                <w:color w:val="181818"/>
                <w:w w:val="105"/>
              </w:rPr>
            </w:pPr>
          </w:p>
        </w:tc>
      </w:tr>
      <w:tr w:rsidR="00BA754A" w14:paraId="31391BBF" w14:textId="3CA2A08C" w:rsidTr="00497AEC">
        <w:trPr>
          <w:trHeight w:val="1057"/>
        </w:trPr>
        <w:tc>
          <w:tcPr>
            <w:tcW w:w="1981" w:type="dxa"/>
          </w:tcPr>
          <w:p w14:paraId="1C4C7FB0" w14:textId="77777777" w:rsidR="00BA754A" w:rsidRDefault="00BA754A">
            <w:pPr>
              <w:pStyle w:val="TableParagraph"/>
              <w:spacing w:before="90" w:line="252" w:lineRule="auto"/>
              <w:ind w:right="217"/>
            </w:pPr>
            <w:r>
              <w:rPr>
                <w:color w:val="181818"/>
                <w:w w:val="105"/>
              </w:rPr>
              <w:t>Private- Partnership Cost Share</w:t>
            </w:r>
          </w:p>
        </w:tc>
        <w:tc>
          <w:tcPr>
            <w:tcW w:w="4101" w:type="dxa"/>
          </w:tcPr>
          <w:p w14:paraId="3B7FA950" w14:textId="7AE91EB3" w:rsidR="00BA754A" w:rsidRDefault="00BA754A" w:rsidP="00A7120A">
            <w:pPr>
              <w:pStyle w:val="TableParagraph"/>
              <w:spacing w:before="27" w:line="252" w:lineRule="auto"/>
              <w:ind w:left="116" w:right="-6" w:firstLine="4"/>
            </w:pPr>
            <w:r>
              <w:rPr>
                <w:color w:val="181818"/>
                <w:w w:val="105"/>
              </w:rPr>
              <w:t xml:space="preserve">Cost share taken on by private </w:t>
            </w:r>
            <w:r w:rsidR="00A7120A">
              <w:rPr>
                <w:color w:val="181818"/>
                <w:w w:val="105"/>
              </w:rPr>
              <w:t>o</w:t>
            </w:r>
            <w:r>
              <w:rPr>
                <w:color w:val="181818"/>
                <w:w w:val="105"/>
              </w:rPr>
              <w:t xml:space="preserve">rganizations/businesses </w:t>
            </w:r>
            <w:r w:rsidR="00A7120A">
              <w:rPr>
                <w:color w:val="181818"/>
                <w:w w:val="105"/>
              </w:rPr>
              <w:t>e</w:t>
            </w:r>
            <w:r>
              <w:rPr>
                <w:color w:val="181818"/>
                <w:w w:val="105"/>
              </w:rPr>
              <w:t>mphasizing community participation, collaboration, and investment. Points will be assigned based on percentage of</w:t>
            </w:r>
            <w:r w:rsidR="00A7120A">
              <w:rPr>
                <w:color w:val="181818"/>
                <w:w w:val="105"/>
              </w:rPr>
              <w:t xml:space="preserve"> </w:t>
            </w:r>
            <w:r>
              <w:rPr>
                <w:color w:val="181818"/>
                <w:w w:val="105"/>
              </w:rPr>
              <w:t>private cost share invested.</w:t>
            </w:r>
          </w:p>
        </w:tc>
        <w:tc>
          <w:tcPr>
            <w:tcW w:w="1440" w:type="dxa"/>
          </w:tcPr>
          <w:p w14:paraId="2B8F3D8D" w14:textId="77777777" w:rsidR="00BA754A" w:rsidRDefault="00BA754A">
            <w:pPr>
              <w:pStyle w:val="TableParagraph"/>
              <w:spacing w:before="85"/>
              <w:ind w:left="204" w:right="162"/>
              <w:jc w:val="center"/>
            </w:pPr>
            <w:r>
              <w:rPr>
                <w:color w:val="181818"/>
                <w:w w:val="105"/>
              </w:rPr>
              <w:t>150</w:t>
            </w:r>
          </w:p>
        </w:tc>
        <w:tc>
          <w:tcPr>
            <w:tcW w:w="1440" w:type="dxa"/>
          </w:tcPr>
          <w:p w14:paraId="45F5F1A0" w14:textId="77777777" w:rsidR="00BA754A" w:rsidRDefault="00BA754A">
            <w:pPr>
              <w:pStyle w:val="TableParagraph"/>
              <w:spacing w:before="85"/>
              <w:ind w:left="204" w:right="162"/>
              <w:jc w:val="center"/>
              <w:rPr>
                <w:color w:val="181818"/>
                <w:w w:val="105"/>
              </w:rPr>
            </w:pPr>
          </w:p>
        </w:tc>
      </w:tr>
      <w:tr w:rsidR="00BA754A" w14:paraId="0CA39CE3" w14:textId="07436E01" w:rsidTr="00497AEC">
        <w:trPr>
          <w:trHeight w:val="2124"/>
        </w:trPr>
        <w:tc>
          <w:tcPr>
            <w:tcW w:w="1981" w:type="dxa"/>
          </w:tcPr>
          <w:p w14:paraId="76EA39D6" w14:textId="77777777" w:rsidR="00BA754A" w:rsidRDefault="00BA754A">
            <w:pPr>
              <w:pStyle w:val="TableParagraph"/>
              <w:spacing w:before="90" w:line="252" w:lineRule="auto"/>
            </w:pPr>
            <w:r>
              <w:rPr>
                <w:color w:val="181818"/>
              </w:rPr>
              <w:t>Community Rating System (CRS) Participation</w:t>
            </w:r>
          </w:p>
        </w:tc>
        <w:tc>
          <w:tcPr>
            <w:tcW w:w="4101" w:type="dxa"/>
          </w:tcPr>
          <w:p w14:paraId="12B9C393" w14:textId="77777777" w:rsidR="00BA754A" w:rsidRDefault="00BA754A">
            <w:pPr>
              <w:pStyle w:val="TableParagraph"/>
              <w:spacing w:before="27" w:line="254" w:lineRule="auto"/>
              <w:ind w:left="121" w:right="58" w:hanging="4"/>
              <w:rPr>
                <w:rFonts w:ascii="Arial"/>
                <w:b/>
              </w:rPr>
            </w:pPr>
            <w:r>
              <w:rPr>
                <w:color w:val="181818"/>
                <w:w w:val="105"/>
              </w:rPr>
              <w:t xml:space="preserve">The CRS recognizes and encourages community floodplain- management activities that exceed the minimum National Flood Insurance Program standards. Depending on the level of participation, flood insurance premium rates for policyholders can be reduced up to 45%. Highest weight will be assigned to class 1 and descending through lower classes. (Graded Scale: </w:t>
            </w:r>
            <w:r>
              <w:rPr>
                <w:rFonts w:ascii="Arial"/>
                <w:b/>
                <w:color w:val="181818"/>
                <w:w w:val="105"/>
              </w:rPr>
              <w:t>1</w:t>
            </w:r>
          </w:p>
          <w:p w14:paraId="7B90A98D" w14:textId="77777777" w:rsidR="00BA754A" w:rsidRDefault="00BA754A">
            <w:pPr>
              <w:pStyle w:val="TableParagraph"/>
              <w:spacing w:line="239" w:lineRule="exact"/>
              <w:ind w:left="119"/>
            </w:pPr>
            <w:r>
              <w:rPr>
                <w:color w:val="181818"/>
                <w:w w:val="105"/>
                <w:sz w:val="25"/>
              </w:rPr>
              <w:t>=</w:t>
            </w:r>
            <w:r>
              <w:rPr>
                <w:color w:val="181818"/>
                <w:spacing w:val="-12"/>
                <w:w w:val="105"/>
                <w:sz w:val="25"/>
              </w:rPr>
              <w:t xml:space="preserve"> </w:t>
            </w:r>
            <w:r>
              <w:rPr>
                <w:color w:val="181818"/>
                <w:w w:val="105"/>
              </w:rPr>
              <w:t>100,</w:t>
            </w:r>
            <w:r>
              <w:rPr>
                <w:color w:val="181818"/>
                <w:spacing w:val="5"/>
                <w:w w:val="105"/>
              </w:rPr>
              <w:t xml:space="preserve"> </w:t>
            </w:r>
            <w:r>
              <w:rPr>
                <w:color w:val="181818"/>
                <w:w w:val="105"/>
              </w:rPr>
              <w:t>2</w:t>
            </w:r>
            <w:r>
              <w:rPr>
                <w:color w:val="181818"/>
                <w:spacing w:val="-17"/>
                <w:w w:val="105"/>
              </w:rPr>
              <w:t xml:space="preserve"> </w:t>
            </w:r>
            <w:r>
              <w:rPr>
                <w:color w:val="181818"/>
                <w:w w:val="105"/>
                <w:sz w:val="25"/>
              </w:rPr>
              <w:t>=</w:t>
            </w:r>
            <w:r>
              <w:rPr>
                <w:color w:val="181818"/>
                <w:spacing w:val="-14"/>
                <w:w w:val="105"/>
                <w:sz w:val="25"/>
              </w:rPr>
              <w:t xml:space="preserve"> </w:t>
            </w:r>
            <w:r>
              <w:rPr>
                <w:color w:val="181818"/>
                <w:w w:val="105"/>
              </w:rPr>
              <w:t>90,</w:t>
            </w:r>
            <w:r>
              <w:rPr>
                <w:color w:val="181818"/>
                <w:spacing w:val="-1"/>
                <w:w w:val="105"/>
              </w:rPr>
              <w:t xml:space="preserve"> </w:t>
            </w:r>
            <w:r>
              <w:rPr>
                <w:color w:val="181818"/>
                <w:w w:val="105"/>
              </w:rPr>
              <w:t>3</w:t>
            </w:r>
            <w:r>
              <w:rPr>
                <w:color w:val="181818"/>
                <w:spacing w:val="-13"/>
                <w:w w:val="105"/>
              </w:rPr>
              <w:t xml:space="preserve"> </w:t>
            </w:r>
            <w:r>
              <w:rPr>
                <w:color w:val="181818"/>
                <w:w w:val="105"/>
                <w:sz w:val="25"/>
              </w:rPr>
              <w:t>=</w:t>
            </w:r>
            <w:r>
              <w:rPr>
                <w:color w:val="181818"/>
                <w:spacing w:val="-14"/>
                <w:w w:val="105"/>
                <w:sz w:val="25"/>
              </w:rPr>
              <w:t xml:space="preserve"> </w:t>
            </w:r>
            <w:r>
              <w:rPr>
                <w:color w:val="181818"/>
                <w:w w:val="105"/>
              </w:rPr>
              <w:t>80,</w:t>
            </w:r>
            <w:r>
              <w:rPr>
                <w:color w:val="181818"/>
                <w:spacing w:val="-10"/>
                <w:w w:val="105"/>
              </w:rPr>
              <w:t xml:space="preserve"> </w:t>
            </w:r>
            <w:r>
              <w:rPr>
                <w:color w:val="181818"/>
                <w:w w:val="105"/>
              </w:rPr>
              <w:t>4</w:t>
            </w:r>
            <w:r>
              <w:rPr>
                <w:color w:val="181818"/>
                <w:spacing w:val="-1"/>
                <w:w w:val="105"/>
              </w:rPr>
              <w:t xml:space="preserve"> </w:t>
            </w:r>
            <w:r>
              <w:rPr>
                <w:color w:val="181818"/>
                <w:w w:val="105"/>
                <w:sz w:val="25"/>
              </w:rPr>
              <w:t>=</w:t>
            </w:r>
            <w:r>
              <w:rPr>
                <w:color w:val="181818"/>
                <w:spacing w:val="-17"/>
                <w:w w:val="105"/>
                <w:sz w:val="25"/>
              </w:rPr>
              <w:t xml:space="preserve"> </w:t>
            </w:r>
            <w:r>
              <w:rPr>
                <w:color w:val="181818"/>
                <w:w w:val="105"/>
              </w:rPr>
              <w:t>70,</w:t>
            </w:r>
            <w:r>
              <w:rPr>
                <w:color w:val="181818"/>
                <w:spacing w:val="-3"/>
                <w:w w:val="105"/>
              </w:rPr>
              <w:t xml:space="preserve"> </w:t>
            </w:r>
            <w:r>
              <w:rPr>
                <w:color w:val="181818"/>
                <w:w w:val="105"/>
              </w:rPr>
              <w:t>5</w:t>
            </w:r>
            <w:r>
              <w:rPr>
                <w:color w:val="181818"/>
                <w:spacing w:val="-8"/>
                <w:w w:val="105"/>
              </w:rPr>
              <w:t xml:space="preserve"> </w:t>
            </w:r>
            <w:r>
              <w:rPr>
                <w:color w:val="181818"/>
                <w:w w:val="105"/>
                <w:sz w:val="25"/>
              </w:rPr>
              <w:t>=</w:t>
            </w:r>
            <w:r>
              <w:rPr>
                <w:color w:val="181818"/>
                <w:spacing w:val="-24"/>
                <w:w w:val="105"/>
                <w:sz w:val="25"/>
              </w:rPr>
              <w:t xml:space="preserve"> </w:t>
            </w:r>
            <w:r>
              <w:rPr>
                <w:color w:val="181818"/>
                <w:w w:val="105"/>
              </w:rPr>
              <w:t>60,</w:t>
            </w:r>
            <w:r>
              <w:rPr>
                <w:color w:val="181818"/>
                <w:spacing w:val="-2"/>
                <w:w w:val="105"/>
              </w:rPr>
              <w:t xml:space="preserve"> </w:t>
            </w:r>
            <w:r>
              <w:rPr>
                <w:color w:val="181818"/>
                <w:w w:val="105"/>
              </w:rPr>
              <w:t>5</w:t>
            </w:r>
            <w:r>
              <w:rPr>
                <w:color w:val="181818"/>
                <w:spacing w:val="-4"/>
                <w:w w:val="105"/>
              </w:rPr>
              <w:t xml:space="preserve"> </w:t>
            </w:r>
            <w:r>
              <w:rPr>
                <w:color w:val="181818"/>
                <w:w w:val="105"/>
                <w:sz w:val="25"/>
              </w:rPr>
              <w:t>=</w:t>
            </w:r>
            <w:r>
              <w:rPr>
                <w:color w:val="181818"/>
                <w:spacing w:val="-16"/>
                <w:w w:val="105"/>
                <w:sz w:val="25"/>
              </w:rPr>
              <w:t xml:space="preserve"> </w:t>
            </w:r>
            <w:r>
              <w:rPr>
                <w:color w:val="181818"/>
                <w:w w:val="105"/>
              </w:rPr>
              <w:t>50,</w:t>
            </w:r>
            <w:r>
              <w:rPr>
                <w:color w:val="181818"/>
                <w:spacing w:val="-1"/>
                <w:w w:val="105"/>
              </w:rPr>
              <w:t xml:space="preserve"> </w:t>
            </w:r>
            <w:r>
              <w:rPr>
                <w:color w:val="181818"/>
                <w:w w:val="105"/>
              </w:rPr>
              <w:t>6</w:t>
            </w:r>
            <w:r>
              <w:rPr>
                <w:color w:val="181818"/>
                <w:spacing w:val="-5"/>
                <w:w w:val="105"/>
              </w:rPr>
              <w:t xml:space="preserve"> </w:t>
            </w:r>
            <w:r>
              <w:rPr>
                <w:color w:val="181818"/>
                <w:w w:val="105"/>
                <w:sz w:val="25"/>
              </w:rPr>
              <w:t>=</w:t>
            </w:r>
            <w:r>
              <w:rPr>
                <w:color w:val="181818"/>
                <w:spacing w:val="-15"/>
                <w:w w:val="105"/>
                <w:sz w:val="25"/>
              </w:rPr>
              <w:t xml:space="preserve"> </w:t>
            </w:r>
            <w:r>
              <w:rPr>
                <w:color w:val="181818"/>
                <w:w w:val="105"/>
              </w:rPr>
              <w:t>40, 7</w:t>
            </w:r>
            <w:r>
              <w:rPr>
                <w:color w:val="181818"/>
                <w:spacing w:val="-8"/>
                <w:w w:val="105"/>
              </w:rPr>
              <w:t xml:space="preserve"> </w:t>
            </w:r>
            <w:r>
              <w:rPr>
                <w:color w:val="181818"/>
                <w:w w:val="105"/>
                <w:sz w:val="25"/>
              </w:rPr>
              <w:t>=</w:t>
            </w:r>
            <w:r>
              <w:rPr>
                <w:color w:val="181818"/>
                <w:spacing w:val="-18"/>
                <w:w w:val="105"/>
                <w:sz w:val="25"/>
              </w:rPr>
              <w:t xml:space="preserve"> </w:t>
            </w:r>
            <w:r>
              <w:rPr>
                <w:color w:val="181818"/>
                <w:w w:val="105"/>
              </w:rPr>
              <w:t>30,</w:t>
            </w:r>
            <w:r>
              <w:rPr>
                <w:color w:val="181818"/>
                <w:spacing w:val="-5"/>
                <w:w w:val="105"/>
              </w:rPr>
              <w:t xml:space="preserve"> </w:t>
            </w:r>
            <w:r>
              <w:rPr>
                <w:color w:val="181818"/>
                <w:w w:val="105"/>
              </w:rPr>
              <w:t>8</w:t>
            </w:r>
          </w:p>
          <w:p w14:paraId="77C58D8A" w14:textId="77777777" w:rsidR="00BA754A" w:rsidRDefault="00BA754A">
            <w:pPr>
              <w:pStyle w:val="TableParagraph"/>
              <w:spacing w:line="228" w:lineRule="exact"/>
              <w:ind w:left="119"/>
            </w:pPr>
            <w:r>
              <w:rPr>
                <w:color w:val="181818"/>
                <w:sz w:val="25"/>
              </w:rPr>
              <w:t xml:space="preserve">= </w:t>
            </w:r>
            <w:r>
              <w:rPr>
                <w:color w:val="181818"/>
              </w:rPr>
              <w:t xml:space="preserve">20, 9 </w:t>
            </w:r>
            <w:r>
              <w:rPr>
                <w:color w:val="181818"/>
                <w:sz w:val="25"/>
              </w:rPr>
              <w:t xml:space="preserve">= </w:t>
            </w:r>
            <w:r>
              <w:rPr>
                <w:color w:val="181818"/>
              </w:rPr>
              <w:t>10)</w:t>
            </w:r>
          </w:p>
        </w:tc>
        <w:tc>
          <w:tcPr>
            <w:tcW w:w="1440" w:type="dxa"/>
          </w:tcPr>
          <w:p w14:paraId="70D3E921" w14:textId="77777777" w:rsidR="00BA754A" w:rsidRDefault="00BA754A">
            <w:pPr>
              <w:pStyle w:val="TableParagraph"/>
              <w:spacing w:before="85"/>
              <w:ind w:left="204" w:right="180"/>
              <w:jc w:val="center"/>
            </w:pPr>
            <w:r>
              <w:rPr>
                <w:color w:val="181818"/>
                <w:w w:val="105"/>
              </w:rPr>
              <w:t>10-100</w:t>
            </w:r>
          </w:p>
        </w:tc>
        <w:tc>
          <w:tcPr>
            <w:tcW w:w="1440" w:type="dxa"/>
          </w:tcPr>
          <w:p w14:paraId="40DFDEE6" w14:textId="77777777" w:rsidR="00BA754A" w:rsidRDefault="00BA754A">
            <w:pPr>
              <w:pStyle w:val="TableParagraph"/>
              <w:spacing w:before="85"/>
              <w:ind w:left="204" w:right="180"/>
              <w:jc w:val="center"/>
              <w:rPr>
                <w:color w:val="181818"/>
                <w:w w:val="105"/>
              </w:rPr>
            </w:pPr>
          </w:p>
        </w:tc>
      </w:tr>
      <w:tr w:rsidR="00BA754A" w14:paraId="556974B0" w14:textId="677702C8" w:rsidTr="00497AEC">
        <w:trPr>
          <w:trHeight w:val="1196"/>
        </w:trPr>
        <w:tc>
          <w:tcPr>
            <w:tcW w:w="1981" w:type="dxa"/>
          </w:tcPr>
          <w:p w14:paraId="7BC67AB7" w14:textId="77777777" w:rsidR="00BA754A" w:rsidRDefault="00BA754A">
            <w:pPr>
              <w:pStyle w:val="TableParagraph"/>
              <w:spacing w:before="94" w:line="252" w:lineRule="auto"/>
              <w:ind w:right="60" w:hanging="3"/>
            </w:pPr>
            <w:r>
              <w:rPr>
                <w:color w:val="181818"/>
                <w:w w:val="105"/>
              </w:rPr>
              <w:t>Advance Assistance Generated Project (Projects Only)</w:t>
            </w:r>
          </w:p>
        </w:tc>
        <w:tc>
          <w:tcPr>
            <w:tcW w:w="4101" w:type="dxa"/>
          </w:tcPr>
          <w:p w14:paraId="085EBEE9" w14:textId="77777777" w:rsidR="00BA754A" w:rsidRDefault="00BA754A">
            <w:pPr>
              <w:pStyle w:val="TableParagraph"/>
              <w:spacing w:before="32" w:line="254" w:lineRule="auto"/>
              <w:ind w:left="122" w:right="72"/>
            </w:pPr>
            <w:r>
              <w:rPr>
                <w:color w:val="181818"/>
                <w:w w:val="105"/>
              </w:rPr>
              <w:t>Application generated from a previous FEMA HMA Advance Assistance Award.</w:t>
            </w:r>
          </w:p>
        </w:tc>
        <w:tc>
          <w:tcPr>
            <w:tcW w:w="1440" w:type="dxa"/>
          </w:tcPr>
          <w:p w14:paraId="35CEB102" w14:textId="77777777" w:rsidR="00BA754A" w:rsidRDefault="00BA754A">
            <w:pPr>
              <w:pStyle w:val="TableParagraph"/>
              <w:spacing w:before="90"/>
              <w:ind w:left="204" w:right="173"/>
              <w:jc w:val="center"/>
            </w:pPr>
            <w:r>
              <w:rPr>
                <w:color w:val="181818"/>
                <w:w w:val="110"/>
              </w:rPr>
              <w:t>20</w:t>
            </w:r>
          </w:p>
        </w:tc>
        <w:tc>
          <w:tcPr>
            <w:tcW w:w="1440" w:type="dxa"/>
          </w:tcPr>
          <w:p w14:paraId="5BB29BB4" w14:textId="77777777" w:rsidR="00BA754A" w:rsidRDefault="00BA754A">
            <w:pPr>
              <w:pStyle w:val="TableParagraph"/>
              <w:spacing w:before="90"/>
              <w:ind w:left="204" w:right="173"/>
              <w:jc w:val="center"/>
              <w:rPr>
                <w:color w:val="181818"/>
                <w:w w:val="110"/>
              </w:rPr>
            </w:pPr>
          </w:p>
        </w:tc>
      </w:tr>
      <w:tr w:rsidR="00BA754A" w14:paraId="7D9163CB" w14:textId="6E0C3B8E" w:rsidTr="00497AEC">
        <w:trPr>
          <w:trHeight w:val="1109"/>
        </w:trPr>
        <w:tc>
          <w:tcPr>
            <w:tcW w:w="1981" w:type="dxa"/>
          </w:tcPr>
          <w:p w14:paraId="49AE7168" w14:textId="77777777" w:rsidR="00BA754A" w:rsidRDefault="00BA754A">
            <w:pPr>
              <w:pStyle w:val="TableParagraph"/>
              <w:spacing w:before="94" w:line="249" w:lineRule="auto"/>
              <w:ind w:left="118" w:firstLine="3"/>
            </w:pPr>
            <w:r>
              <w:rPr>
                <w:color w:val="181818"/>
                <w:w w:val="105"/>
              </w:rPr>
              <w:t>Cooperating Technical Partners Program (CTP)</w:t>
            </w:r>
          </w:p>
          <w:p w14:paraId="44418B15" w14:textId="77777777" w:rsidR="00BA754A" w:rsidRDefault="00BA754A">
            <w:pPr>
              <w:pStyle w:val="TableParagraph"/>
              <w:spacing w:before="4" w:line="202" w:lineRule="exact"/>
              <w:ind w:left="121"/>
            </w:pPr>
            <w:r>
              <w:rPr>
                <w:color w:val="181818"/>
              </w:rPr>
              <w:t>Participation</w:t>
            </w:r>
          </w:p>
        </w:tc>
        <w:tc>
          <w:tcPr>
            <w:tcW w:w="4101" w:type="dxa"/>
          </w:tcPr>
          <w:p w14:paraId="7EF79D9C" w14:textId="1A5093C0" w:rsidR="00BA754A" w:rsidRDefault="00BA754A" w:rsidP="00A7120A">
            <w:pPr>
              <w:pStyle w:val="TableParagraph"/>
              <w:spacing w:before="32" w:line="252" w:lineRule="auto"/>
              <w:ind w:right="72" w:hanging="4"/>
            </w:pPr>
            <w:r>
              <w:rPr>
                <w:color w:val="181818"/>
                <w:w w:val="105"/>
              </w:rPr>
              <w:t>The CTP is a qualified partnership program in which communities commit to collaborate in maintaining up-to-date flood hazard maps and other flood hazard information. Points</w:t>
            </w:r>
            <w:r w:rsidR="00A7120A">
              <w:rPr>
                <w:color w:val="181818"/>
                <w:w w:val="105"/>
              </w:rPr>
              <w:t xml:space="preserve"> </w:t>
            </w:r>
            <w:r>
              <w:rPr>
                <w:color w:val="181818"/>
                <w:w w:val="105"/>
              </w:rPr>
              <w:t>will be assigned to CTP participating communities.</w:t>
            </w:r>
          </w:p>
        </w:tc>
        <w:tc>
          <w:tcPr>
            <w:tcW w:w="1440" w:type="dxa"/>
          </w:tcPr>
          <w:p w14:paraId="7C6659D6" w14:textId="77777777" w:rsidR="00BA754A" w:rsidRDefault="00BA754A">
            <w:pPr>
              <w:pStyle w:val="TableParagraph"/>
              <w:spacing w:before="90"/>
              <w:ind w:left="204" w:right="162"/>
              <w:jc w:val="center"/>
            </w:pPr>
            <w:r>
              <w:rPr>
                <w:color w:val="181818"/>
                <w:w w:val="110"/>
              </w:rPr>
              <w:t>30</w:t>
            </w:r>
          </w:p>
        </w:tc>
        <w:tc>
          <w:tcPr>
            <w:tcW w:w="1440" w:type="dxa"/>
          </w:tcPr>
          <w:p w14:paraId="66559764" w14:textId="77777777" w:rsidR="00BA754A" w:rsidRDefault="00BA754A">
            <w:pPr>
              <w:pStyle w:val="TableParagraph"/>
              <w:spacing w:before="90"/>
              <w:ind w:left="204" w:right="162"/>
              <w:jc w:val="center"/>
              <w:rPr>
                <w:color w:val="181818"/>
                <w:w w:val="110"/>
              </w:rPr>
            </w:pPr>
          </w:p>
        </w:tc>
      </w:tr>
    </w:tbl>
    <w:p w14:paraId="4DAE6918" w14:textId="77777777" w:rsidR="009361C6" w:rsidRDefault="009361C6">
      <w:pPr>
        <w:pStyle w:val="BodyText"/>
        <w:spacing w:before="4"/>
        <w:rPr>
          <w:sz w:val="23"/>
        </w:rPr>
      </w:pPr>
    </w:p>
    <w:p w14:paraId="37028B6C" w14:textId="77777777" w:rsidR="009361C6" w:rsidRDefault="00161A6F">
      <w:pPr>
        <w:pStyle w:val="BodyText"/>
        <w:spacing w:before="91" w:line="252" w:lineRule="auto"/>
        <w:ind w:left="1511" w:right="770" w:firstLine="6"/>
      </w:pPr>
      <w:r>
        <w:rPr>
          <w:color w:val="181818"/>
          <w:w w:val="105"/>
        </w:rPr>
        <w:lastRenderedPageBreak/>
        <w:t xml:space="preserve">In the event of a tie between two or more community flood mitigation </w:t>
      </w:r>
      <w:proofErr w:type="spellStart"/>
      <w:r>
        <w:rPr>
          <w:color w:val="181818"/>
          <w:w w:val="105"/>
        </w:rPr>
        <w:t>subapplications</w:t>
      </w:r>
      <w:proofErr w:type="spellEnd"/>
      <w:r>
        <w:rPr>
          <w:color w:val="181818"/>
          <w:w w:val="105"/>
        </w:rPr>
        <w:t>, FEMA will use the highest Benefit-Cost Ratio (BCR) as a tiebreaker for projects.</w:t>
      </w:r>
    </w:p>
    <w:p w14:paraId="77AB6F92" w14:textId="77777777" w:rsidR="009361C6" w:rsidRDefault="009361C6">
      <w:pPr>
        <w:pStyle w:val="BodyText"/>
        <w:spacing w:before="5"/>
        <w:rPr>
          <w:sz w:val="23"/>
        </w:rPr>
      </w:pPr>
    </w:p>
    <w:p w14:paraId="06E41CDE" w14:textId="77777777" w:rsidR="009361C6" w:rsidRDefault="00161A6F">
      <w:pPr>
        <w:pStyle w:val="BodyText"/>
        <w:spacing w:line="254" w:lineRule="auto"/>
        <w:ind w:left="1510" w:right="770" w:firstLine="1"/>
      </w:pPr>
      <w:r>
        <w:rPr>
          <w:color w:val="181818"/>
          <w:w w:val="105"/>
        </w:rPr>
        <w:t>After meeting the $70 million available for community flood mitigation or when all eligi</w:t>
      </w:r>
      <w:r>
        <w:rPr>
          <w:color w:val="181818"/>
          <w:w w:val="105"/>
        </w:rPr>
        <w:t xml:space="preserve">ble community flood mitigation project </w:t>
      </w:r>
      <w:proofErr w:type="spellStart"/>
      <w:r>
        <w:rPr>
          <w:color w:val="181818"/>
          <w:w w:val="105"/>
        </w:rPr>
        <w:t>subapplications</w:t>
      </w:r>
      <w:proofErr w:type="spellEnd"/>
      <w:r>
        <w:rPr>
          <w:color w:val="181818"/>
          <w:w w:val="105"/>
        </w:rPr>
        <w:t xml:space="preserve"> have been</w:t>
      </w:r>
    </w:p>
    <w:p w14:paraId="7834289E" w14:textId="77777777" w:rsidR="009361C6" w:rsidRDefault="00161A6F">
      <w:pPr>
        <w:spacing w:before="199"/>
        <w:ind w:left="3973" w:right="4649"/>
        <w:jc w:val="center"/>
      </w:pPr>
      <w:r>
        <w:rPr>
          <w:color w:val="181818"/>
          <w:w w:val="110"/>
        </w:rPr>
        <w:t xml:space="preserve">Page </w:t>
      </w:r>
      <w:r>
        <w:rPr>
          <w:b/>
          <w:color w:val="181818"/>
          <w:w w:val="110"/>
        </w:rPr>
        <w:t xml:space="preserve">20 </w:t>
      </w:r>
      <w:r>
        <w:rPr>
          <w:color w:val="181818"/>
          <w:w w:val="110"/>
        </w:rPr>
        <w:t>of36</w:t>
      </w:r>
    </w:p>
    <w:p w14:paraId="0407298B" w14:textId="77777777" w:rsidR="009361C6" w:rsidRDefault="00161A6F">
      <w:pPr>
        <w:spacing w:before="212"/>
        <w:ind w:left="135"/>
        <w:rPr>
          <w:sz w:val="17"/>
        </w:rPr>
      </w:pPr>
      <w:r>
        <w:rPr>
          <w:color w:val="181818"/>
          <w:sz w:val="17"/>
        </w:rPr>
        <w:t>FY 2020 FMA NOFO</w:t>
      </w:r>
    </w:p>
    <w:sectPr w:rsidR="009361C6">
      <w:type w:val="continuous"/>
      <w:pgSz w:w="12240" w:h="15840"/>
      <w:pgMar w:top="1500" w:right="9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361C6"/>
    <w:rsid w:val="00161A6F"/>
    <w:rsid w:val="00442581"/>
    <w:rsid w:val="004B6C2C"/>
    <w:rsid w:val="009361C6"/>
    <w:rsid w:val="00992E2E"/>
    <w:rsid w:val="00A7120A"/>
    <w:rsid w:val="00BA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7C21"/>
  <w15:docId w15:val="{D571D968-D63F-41BC-B881-FB6FCB19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20"/>
    </w:pPr>
  </w:style>
  <w:style w:type="paragraph" w:styleId="NoSpacing">
    <w:name w:val="No Spacing"/>
    <w:uiPriority w:val="1"/>
    <w:qFormat/>
    <w:rsid w:val="00A7120A"/>
    <w:rPr>
      <w:rFonts w:ascii="Times New Roman" w:eastAsia="Times New Roman" w:hAnsi="Times New Roman" w:cs="Times New Roman"/>
    </w:rPr>
  </w:style>
  <w:style w:type="paragraph" w:styleId="Quote">
    <w:name w:val="Quote"/>
    <w:basedOn w:val="Normal"/>
    <w:next w:val="Normal"/>
    <w:link w:val="QuoteChar"/>
    <w:uiPriority w:val="29"/>
    <w:qFormat/>
    <w:rsid w:val="00A712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7120A"/>
    <w:rPr>
      <w:rFonts w:ascii="Times New Roman" w:eastAsia="Times New Roman" w:hAnsi="Times New Roman" w:cs="Times New Roman"/>
      <w:i/>
      <w:iCs/>
      <w:color w:val="404040" w:themeColor="text1" w:themeTint="BF"/>
    </w:rPr>
  </w:style>
  <w:style w:type="paragraph" w:styleId="Title">
    <w:name w:val="Title"/>
    <w:basedOn w:val="Normal"/>
    <w:next w:val="Normal"/>
    <w:link w:val="TitleChar"/>
    <w:uiPriority w:val="10"/>
    <w:qFormat/>
    <w:rsid w:val="00A712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20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71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EB39296EBE254FB8BB22170BE99490" ma:contentTypeVersion="1" ma:contentTypeDescription="Create a new document." ma:contentTypeScope="" ma:versionID="ebe93fea61beb08ccfb4c9c7c8a8fd46">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3EB77D-9658-4C2E-AC21-533646D0ADAD}">
  <ds:schemaRefs>
    <ds:schemaRef ds:uri="http://schemas.openxmlformats.org/officeDocument/2006/bibliography"/>
  </ds:schemaRefs>
</ds:datastoreItem>
</file>

<file path=customXml/itemProps2.xml><?xml version="1.0" encoding="utf-8"?>
<ds:datastoreItem xmlns:ds="http://schemas.openxmlformats.org/officeDocument/2006/customXml" ds:itemID="{4AFEB21D-F420-4D47-938E-E48AD1B84850}"/>
</file>

<file path=customXml/itemProps3.xml><?xml version="1.0" encoding="utf-8"?>
<ds:datastoreItem xmlns:ds="http://schemas.openxmlformats.org/officeDocument/2006/customXml" ds:itemID="{912FB311-DA88-46E5-8962-56C0F6601BCF}"/>
</file>

<file path=customXml/itemProps4.xml><?xml version="1.0" encoding="utf-8"?>
<ds:datastoreItem xmlns:ds="http://schemas.openxmlformats.org/officeDocument/2006/customXml" ds:itemID="{42C9818D-FD4D-491F-9F6C-CC23F616AD94}"/>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Yu, Julie</cp:lastModifiedBy>
  <cp:revision>3</cp:revision>
  <dcterms:created xsi:type="dcterms:W3CDTF">2020-10-01T17:50:00Z</dcterms:created>
  <dcterms:modified xsi:type="dcterms:W3CDTF">2020-10-01T18:02:00Z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Xerox AltaLink C8035</vt:lpwstr>
  </property>
  <property fmtid="{D5CDD505-2E9C-101B-9397-08002B2CF9AE}" pid="4" name="LastSaved">
    <vt:filetime>2020-10-01T00:00:00Z</vt:filetime>
  </property>
  <property fmtid="{D5CDD505-2E9C-101B-9397-08002B2CF9AE}" pid="5" name="ContentTypeId">
    <vt:lpwstr>0x01010090EB39296EBE254FB8BB22170BE99490</vt:lpwstr>
  </property>
  <property fmtid="{D5CDD505-2E9C-101B-9397-08002B2CF9AE}" pid="6" name="Order">
    <vt:r8>1500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