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BF" w:rsidRDefault="00D35848" w:rsidP="00DA4DCE">
      <w:pPr>
        <w:pStyle w:val="CM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6" type="#_x0000_t75" alt="DHS_fema_S" style="position:absolute;margin-left:-24.35pt;margin-top:-26.85pt;width:231.65pt;height:98.2pt;z-index:-251658752;visibility:visible">
            <v:imagedata r:id="rId6" o:title=""/>
          </v:shape>
        </w:pict>
      </w:r>
      <w:r>
        <w:rPr>
          <w:noProof/>
        </w:rPr>
        <w:pict>
          <v:shape id="Picture 8" o:spid="_x0000_s1027" type="#_x0000_t75" alt="vdemlogo2" style="position:absolute;margin-left:265.6pt;margin-top:-9.6pt;width:217.85pt;height:61.6pt;z-index:251658752;visibility:visible;mso-position-vertical-relative:line" o:allowoverlap="f">
            <v:imagedata r:id="rId7" o:title=""/>
            <w10:wrap type="square"/>
          </v:shape>
        </w:pict>
      </w:r>
      <w:r w:rsidR="002823BF">
        <w:t xml:space="preserve"> </w:t>
      </w:r>
    </w:p>
    <w:p w:rsidR="00DA4DCE" w:rsidRDefault="00DA4DCE" w:rsidP="00DA4DCE">
      <w:pPr>
        <w:pStyle w:val="CM1"/>
        <w:jc w:val="center"/>
        <w:rPr>
          <w:rFonts w:cs="GBPOJ I+ Helvetica"/>
          <w:color w:val="000000"/>
          <w:sz w:val="36"/>
          <w:szCs w:val="36"/>
        </w:rPr>
      </w:pPr>
    </w:p>
    <w:p w:rsidR="00DA4DCE" w:rsidRDefault="00DA4DCE" w:rsidP="00DA4DCE">
      <w:pPr>
        <w:pStyle w:val="CM1"/>
        <w:jc w:val="center"/>
        <w:rPr>
          <w:rFonts w:cs="GBPOJ I+ Helvetica"/>
          <w:color w:val="000000"/>
          <w:sz w:val="36"/>
          <w:szCs w:val="36"/>
        </w:rPr>
      </w:pPr>
    </w:p>
    <w:p w:rsidR="00DA4DCE" w:rsidRDefault="00DA4DCE" w:rsidP="00DA4DCE">
      <w:pPr>
        <w:pStyle w:val="CM1"/>
        <w:jc w:val="center"/>
        <w:rPr>
          <w:rFonts w:cs="GBPOJ I+ Helvetica"/>
          <w:color w:val="000000"/>
          <w:sz w:val="36"/>
          <w:szCs w:val="36"/>
        </w:rPr>
      </w:pPr>
    </w:p>
    <w:p w:rsidR="00DA4DCE" w:rsidRDefault="00DA4DCE" w:rsidP="00DA4DCE">
      <w:pPr>
        <w:pStyle w:val="CM1"/>
        <w:jc w:val="center"/>
        <w:rPr>
          <w:rFonts w:cs="GBPOJ I+ Helvetica"/>
          <w:color w:val="000000"/>
          <w:sz w:val="36"/>
          <w:szCs w:val="36"/>
        </w:rPr>
      </w:pPr>
      <w:r>
        <w:rPr>
          <w:rFonts w:cs="GBPOJ I+ Helvetica"/>
          <w:color w:val="000000"/>
          <w:sz w:val="36"/>
          <w:szCs w:val="36"/>
        </w:rPr>
        <w:t>Duplication of Benefits</w:t>
      </w:r>
    </w:p>
    <w:p w:rsidR="002823BF" w:rsidRDefault="002823BF" w:rsidP="00DA4DCE">
      <w:pPr>
        <w:pStyle w:val="CM1"/>
        <w:jc w:val="center"/>
        <w:rPr>
          <w:rFonts w:cs="GBPOJ I+ Helvetica"/>
          <w:color w:val="000000"/>
          <w:sz w:val="36"/>
          <w:szCs w:val="36"/>
        </w:rPr>
      </w:pPr>
      <w:r>
        <w:rPr>
          <w:rFonts w:cs="GBPOJ I+ Helvetica"/>
          <w:color w:val="000000"/>
          <w:sz w:val="36"/>
          <w:szCs w:val="36"/>
        </w:rPr>
        <w:t>Hazard Mitigation Grant Program</w:t>
      </w:r>
    </w:p>
    <w:p w:rsidR="00DA4DCE" w:rsidRDefault="00DA4DCE" w:rsidP="00DA4DCE">
      <w:pPr>
        <w:pStyle w:val="Default"/>
      </w:pPr>
    </w:p>
    <w:p w:rsidR="00DA4DCE" w:rsidRDefault="00DA4DCE" w:rsidP="00DA4DCE">
      <w:pPr>
        <w:pStyle w:val="Default"/>
      </w:pPr>
    </w:p>
    <w:p w:rsidR="00DA4DCE" w:rsidRPr="00DA4DCE" w:rsidRDefault="00DA4DCE" w:rsidP="00DA4DCE">
      <w:pPr>
        <w:pStyle w:val="Default"/>
        <w:sectPr w:rsidR="00DA4DCE" w:rsidRPr="00DA4DCE" w:rsidSect="00DA4DCE">
          <w:pgSz w:w="12240" w:h="16340"/>
          <w:pgMar w:top="1008" w:right="990" w:bottom="480" w:left="900" w:header="720" w:footer="720" w:gutter="0"/>
          <w:cols w:space="720"/>
          <w:noEndnote/>
        </w:sectPr>
      </w:pPr>
    </w:p>
    <w:p w:rsidR="002823BF" w:rsidRDefault="002823BF">
      <w:pPr>
        <w:pStyle w:val="Default"/>
        <w:spacing w:after="408" w:line="368" w:lineRule="atLeast"/>
        <w:ind w:right="1170"/>
        <w:rPr>
          <w:rFonts w:ascii="GBPOK J+ Helvetica" w:hAnsi="GBPOK J+ Helvetica" w:cs="GBPOK J+ Helvetica"/>
          <w:color w:val="auto"/>
          <w:sz w:val="32"/>
          <w:szCs w:val="32"/>
        </w:rPr>
      </w:pPr>
      <w:r>
        <w:rPr>
          <w:rFonts w:ascii="GBPOK J+ Helvetica" w:hAnsi="GBPOK J+ Helvetica" w:cs="GBPOK J+ Helvetica"/>
          <w:b/>
          <w:bCs/>
          <w:i/>
          <w:iCs/>
          <w:color w:val="auto"/>
          <w:sz w:val="32"/>
          <w:szCs w:val="32"/>
        </w:rPr>
        <w:lastRenderedPageBreak/>
        <w:t>What is d</w:t>
      </w:r>
      <w:r w:rsidR="00B600C7">
        <w:rPr>
          <w:rFonts w:ascii="GBPOK J+ Helvetica" w:hAnsi="GBPOK J+ Helvetica" w:cs="GBPOK J+ Helvetica"/>
          <w:b/>
          <w:bCs/>
          <w:i/>
          <w:iCs/>
          <w:color w:val="auto"/>
          <w:sz w:val="32"/>
          <w:szCs w:val="32"/>
        </w:rPr>
        <w:t xml:space="preserve">uplication of benefits (DOB) in an acquisition </w:t>
      </w:r>
      <w:r>
        <w:rPr>
          <w:rFonts w:ascii="GBPOK J+ Helvetica" w:hAnsi="GBPOK J+ Helvetica" w:cs="GBPOK J+ Helvetica"/>
          <w:b/>
          <w:bCs/>
          <w:i/>
          <w:iCs/>
          <w:color w:val="auto"/>
          <w:sz w:val="32"/>
          <w:szCs w:val="32"/>
        </w:rPr>
        <w:t xml:space="preserve">project? </w:t>
      </w:r>
    </w:p>
    <w:p w:rsidR="002823BF" w:rsidRDefault="002823BF">
      <w:pPr>
        <w:pStyle w:val="CM8"/>
        <w:spacing w:after="120" w:line="276" w:lineRule="atLeast"/>
        <w:ind w:firstLine="212"/>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“Duplication of Benefits” means being paid more than once for the same thing. Federal laws prohibit a property owner from receiving funds from more than one source for the same item. </w:t>
      </w:r>
    </w:p>
    <w:p w:rsidR="002823BF" w:rsidRDefault="002823BF">
      <w:pPr>
        <w:pStyle w:val="CM8"/>
        <w:spacing w:after="120" w:line="276" w:lineRule="atLeast"/>
        <w:ind w:firstLine="212"/>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In the case of property acquisitions, property owners usually receive assistance from the federal government, a settlement from their insurance company, assistance from the State </w:t>
      </w:r>
      <w:r w:rsidR="0067708D">
        <w:rPr>
          <w:rFonts w:ascii="GBPOND+TimesNewRomanPSMT" w:hAnsi="GBPOND+TimesNewRomanPSMT" w:cs="GBPOND+TimesNewRomanPSMT"/>
          <w:sz w:val="23"/>
          <w:szCs w:val="23"/>
        </w:rPr>
        <w:t>Other Needs Assistance (ONA)</w:t>
      </w:r>
      <w:r>
        <w:rPr>
          <w:rFonts w:ascii="GBPOND+TimesNewRomanPSMT" w:hAnsi="GBPOND+TimesNewRomanPSMT" w:cs="GBPOND+TimesNewRomanPSMT"/>
          <w:sz w:val="23"/>
          <w:szCs w:val="23"/>
        </w:rPr>
        <w:t xml:space="preserve"> Grant Program, Small Business Administration (SBA) loans and assistance from other sources. These funds are provided to assist in making repairs to structural damages, as well as to help offset the loss of personal property. </w:t>
      </w:r>
    </w:p>
    <w:p w:rsidR="002823BF" w:rsidRDefault="002823BF">
      <w:pPr>
        <w:pStyle w:val="CM9"/>
        <w:spacing w:after="580" w:line="276" w:lineRule="atLeast"/>
        <w:ind w:right="82" w:firstLine="210"/>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If a property owner were to receive money through an acquisition project, those funds used to make repairs to structural damages, as mentioned above, would be considered a “duplication of benefits”. </w:t>
      </w:r>
    </w:p>
    <w:p w:rsidR="002823BF" w:rsidRDefault="002823BF">
      <w:pPr>
        <w:pStyle w:val="CM7"/>
        <w:spacing w:after="405" w:line="368" w:lineRule="atLeast"/>
        <w:ind w:right="1540"/>
        <w:rPr>
          <w:rFonts w:ascii="GBPOK J+ Helvetica" w:hAnsi="GBPOK J+ Helvetica" w:cs="GBPOK J+ Helvetica"/>
          <w:sz w:val="32"/>
          <w:szCs w:val="32"/>
        </w:rPr>
      </w:pPr>
      <w:r>
        <w:rPr>
          <w:rFonts w:ascii="GBPOK J+ Helvetica" w:hAnsi="GBPOK J+ Helvetica" w:cs="GBPOK J+ Helvetica"/>
          <w:b/>
          <w:bCs/>
          <w:i/>
          <w:iCs/>
          <w:sz w:val="32"/>
          <w:szCs w:val="32"/>
        </w:rPr>
        <w:t xml:space="preserve">Why would DOB be important to me? </w:t>
      </w:r>
    </w:p>
    <w:p w:rsidR="002823BF" w:rsidRDefault="002823BF">
      <w:pPr>
        <w:pStyle w:val="CM2"/>
        <w:ind w:firstLine="212"/>
        <w:rPr>
          <w:rFonts w:ascii="GBPOND+TimesNewRomanPSMT" w:hAnsi="GBPOND+TimesNewRomanPSMT" w:cs="GBPOND+TimesNewRomanPSMT"/>
          <w:sz w:val="23"/>
          <w:szCs w:val="23"/>
        </w:rPr>
      </w:pPr>
      <w:r>
        <w:rPr>
          <w:rFonts w:ascii="GBPOND+TimesNewRomanPSMT" w:hAnsi="GBPOND+TimesNewRomanPSMT" w:cs="GBPOND+TimesNewRomanPSMT"/>
          <w:sz w:val="23"/>
          <w:szCs w:val="23"/>
        </w:rPr>
        <w:t>When a community chooses to purchase flood-damaged homes at their pre-flood value, the federal government must ensure that funds paid for structural repairs were spent accordingly and are verified with receipts</w:t>
      </w:r>
      <w:r w:rsidR="00DA4DCE">
        <w:rPr>
          <w:rFonts w:ascii="GBPOND+TimesNewRomanPSMT" w:hAnsi="GBPOND+TimesNewRomanPSMT" w:cs="GBPOND+TimesNewRomanPSMT"/>
          <w:sz w:val="23"/>
          <w:szCs w:val="23"/>
        </w:rPr>
        <w:t>.</w:t>
      </w:r>
    </w:p>
    <w:p w:rsidR="00DA4DCE" w:rsidRDefault="00DA4DCE" w:rsidP="00DA4DCE">
      <w:pPr>
        <w:pStyle w:val="Default"/>
      </w:pPr>
    </w:p>
    <w:p w:rsidR="002823BF" w:rsidRDefault="002823BF">
      <w:pPr>
        <w:pStyle w:val="CM8"/>
        <w:spacing w:after="120" w:line="276" w:lineRule="atLeast"/>
        <w:ind w:right="82"/>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If funds for repair were received and that money was not spent for the intended purpose </w:t>
      </w:r>
      <w:r>
        <w:rPr>
          <w:rFonts w:ascii="GBPOND+TimesNewRomanPSMT" w:hAnsi="GBPOND+TimesNewRomanPSMT" w:cs="GBPOND+TimesNewRomanPSMT"/>
          <w:sz w:val="23"/>
          <w:szCs w:val="23"/>
        </w:rPr>
        <w:lastRenderedPageBreak/>
        <w:t xml:space="preserve">of making repairs, it must be deducted from the pre-flood purchase offer for the home. </w:t>
      </w:r>
    </w:p>
    <w:p w:rsidR="002823BF" w:rsidRDefault="002823BF">
      <w:pPr>
        <w:pStyle w:val="CM9"/>
        <w:spacing w:after="580" w:line="276" w:lineRule="atLeast"/>
        <w:ind w:right="255"/>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Money received for loss of personal property, such as building contents, is not considered a duplication of benefits because these items are not a part of the structure. </w:t>
      </w:r>
    </w:p>
    <w:p w:rsidR="002823BF" w:rsidRDefault="002823BF" w:rsidP="00B600C7">
      <w:pPr>
        <w:pStyle w:val="CM7"/>
        <w:spacing w:after="405" w:line="368" w:lineRule="atLeast"/>
        <w:ind w:right="48"/>
        <w:rPr>
          <w:rFonts w:ascii="GBPOK J+ Helvetica" w:hAnsi="GBPOK J+ Helvetica" w:cs="GBPOK J+ Helvetica"/>
          <w:sz w:val="32"/>
          <w:szCs w:val="32"/>
        </w:rPr>
      </w:pPr>
      <w:r>
        <w:rPr>
          <w:rFonts w:ascii="GBPOK J+ Helvetica" w:hAnsi="GBPOK J+ Helvetica" w:cs="GBPOK J+ Helvetica"/>
          <w:b/>
          <w:bCs/>
          <w:i/>
          <w:iCs/>
          <w:sz w:val="32"/>
          <w:szCs w:val="32"/>
        </w:rPr>
        <w:t xml:space="preserve">What </w:t>
      </w:r>
      <w:r w:rsidR="00B600C7">
        <w:rPr>
          <w:rFonts w:ascii="GBPOK J+ Helvetica" w:hAnsi="GBPOK J+ Helvetica" w:cs="GBPOK J+ Helvetica"/>
          <w:b/>
          <w:bCs/>
          <w:i/>
          <w:iCs/>
          <w:sz w:val="32"/>
          <w:szCs w:val="32"/>
        </w:rPr>
        <w:t xml:space="preserve">benefits would be considered in </w:t>
      </w:r>
      <w:r>
        <w:rPr>
          <w:rFonts w:ascii="GBPOK J+ Helvetica" w:hAnsi="GBPOK J+ Helvetica" w:cs="GBPOK J+ Helvetica"/>
          <w:b/>
          <w:bCs/>
          <w:i/>
          <w:iCs/>
          <w:sz w:val="32"/>
          <w:szCs w:val="32"/>
        </w:rPr>
        <w:t xml:space="preserve">determining DOB deductions? </w:t>
      </w:r>
    </w:p>
    <w:p w:rsidR="002823BF" w:rsidRDefault="002823BF" w:rsidP="00DA4DCE">
      <w:pPr>
        <w:pStyle w:val="CM10"/>
        <w:spacing w:after="357" w:line="276" w:lineRule="atLeast"/>
        <w:ind w:right="-222"/>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The following are considered federal benefits and could fall under DOB: </w:t>
      </w:r>
    </w:p>
    <w:p w:rsidR="002823BF" w:rsidRDefault="002823BF" w:rsidP="00DA4DCE">
      <w:pPr>
        <w:pStyle w:val="Default"/>
        <w:numPr>
          <w:ilvl w:val="0"/>
          <w:numId w:val="2"/>
        </w:numPr>
        <w:tabs>
          <w:tab w:val="left" w:pos="450"/>
        </w:tabs>
        <w:ind w:left="450" w:hanging="450"/>
        <w:rPr>
          <w:rFonts w:ascii="GBPOND+TimesNewRomanPSMT" w:hAnsi="GBPOND+TimesNewRomanPSMT" w:cs="GBPOND+TimesNewRomanPSMT"/>
          <w:color w:val="auto"/>
          <w:sz w:val="23"/>
          <w:szCs w:val="23"/>
        </w:rPr>
      </w:pPr>
      <w:r>
        <w:rPr>
          <w:rFonts w:ascii="GBPOND+TimesNewRomanPSMT" w:hAnsi="GBPOND+TimesNewRomanPSMT" w:cs="GBPOND+TimesNewRomanPSMT"/>
          <w:color w:val="auto"/>
          <w:sz w:val="23"/>
          <w:szCs w:val="23"/>
        </w:rPr>
        <w:t xml:space="preserve">Insurance (Private and National Flood Insurance) </w:t>
      </w:r>
    </w:p>
    <w:p w:rsidR="002823BF" w:rsidRDefault="002823BF" w:rsidP="00DA4DCE">
      <w:pPr>
        <w:pStyle w:val="Default"/>
        <w:numPr>
          <w:ilvl w:val="0"/>
          <w:numId w:val="2"/>
        </w:numPr>
        <w:tabs>
          <w:tab w:val="left" w:pos="450"/>
        </w:tabs>
        <w:ind w:left="450" w:hanging="450"/>
        <w:rPr>
          <w:rFonts w:ascii="GBPOND+TimesNewRomanPSMT" w:hAnsi="GBPOND+TimesNewRomanPSMT" w:cs="GBPOND+TimesNewRomanPSMT"/>
          <w:color w:val="auto"/>
          <w:sz w:val="23"/>
          <w:szCs w:val="23"/>
        </w:rPr>
      </w:pPr>
      <w:r>
        <w:rPr>
          <w:rFonts w:ascii="GBPOND+TimesNewRomanPSMT" w:hAnsi="GBPOND+TimesNewRomanPSMT" w:cs="GBPOND+TimesNewRomanPSMT"/>
          <w:color w:val="auto"/>
          <w:sz w:val="23"/>
          <w:szCs w:val="23"/>
        </w:rPr>
        <w:t xml:space="preserve">Disaster Housing Assistance </w:t>
      </w:r>
    </w:p>
    <w:p w:rsidR="002823BF" w:rsidRDefault="002823BF" w:rsidP="00DA4DCE">
      <w:pPr>
        <w:pStyle w:val="Default"/>
        <w:numPr>
          <w:ilvl w:val="0"/>
          <w:numId w:val="2"/>
        </w:numPr>
        <w:tabs>
          <w:tab w:val="left" w:pos="450"/>
        </w:tabs>
        <w:ind w:left="450" w:hanging="450"/>
        <w:rPr>
          <w:rFonts w:ascii="GBPOND+TimesNewRomanPSMT" w:hAnsi="GBPOND+TimesNewRomanPSMT" w:cs="GBPOND+TimesNewRomanPSMT"/>
          <w:color w:val="auto"/>
          <w:sz w:val="23"/>
          <w:szCs w:val="23"/>
        </w:rPr>
      </w:pPr>
      <w:r>
        <w:rPr>
          <w:rFonts w:ascii="GBPOND+TimesNewRomanPSMT" w:hAnsi="GBPOND+TimesNewRomanPSMT" w:cs="GBPOND+TimesNewRomanPSMT"/>
          <w:color w:val="auto"/>
          <w:sz w:val="23"/>
          <w:szCs w:val="23"/>
        </w:rPr>
        <w:t xml:space="preserve">SBA and other federal loans </w:t>
      </w:r>
    </w:p>
    <w:p w:rsidR="002823BF" w:rsidRDefault="002823BF" w:rsidP="00DA4DCE">
      <w:pPr>
        <w:pStyle w:val="Default"/>
        <w:numPr>
          <w:ilvl w:val="0"/>
          <w:numId w:val="2"/>
        </w:numPr>
        <w:tabs>
          <w:tab w:val="left" w:pos="450"/>
        </w:tabs>
        <w:ind w:left="450" w:hanging="450"/>
        <w:rPr>
          <w:rFonts w:ascii="GBPOND+TimesNewRomanPSMT" w:hAnsi="GBPOND+TimesNewRomanPSMT" w:cs="GBPOND+TimesNewRomanPSMT"/>
          <w:color w:val="auto"/>
          <w:sz w:val="23"/>
          <w:szCs w:val="23"/>
        </w:rPr>
      </w:pPr>
      <w:r>
        <w:rPr>
          <w:rFonts w:ascii="GBPOND+TimesNewRomanPSMT" w:hAnsi="GBPOND+TimesNewRomanPSMT" w:cs="GBPOND+TimesNewRomanPSMT"/>
          <w:color w:val="auto"/>
          <w:sz w:val="23"/>
          <w:szCs w:val="23"/>
        </w:rPr>
        <w:t xml:space="preserve">State </w:t>
      </w:r>
      <w:r w:rsidR="0067708D">
        <w:rPr>
          <w:rFonts w:ascii="GBPOND+TimesNewRomanPSMT" w:hAnsi="GBPOND+TimesNewRomanPSMT" w:cs="GBPOND+TimesNewRomanPSMT"/>
          <w:color w:val="auto"/>
          <w:sz w:val="23"/>
          <w:szCs w:val="23"/>
        </w:rPr>
        <w:t>Other Needs Assistance (ONA)</w:t>
      </w:r>
      <w:r>
        <w:rPr>
          <w:rFonts w:ascii="GBPOND+TimesNewRomanPSMT" w:hAnsi="GBPOND+TimesNewRomanPSMT" w:cs="GBPOND+TimesNewRomanPSMT"/>
          <w:color w:val="auto"/>
          <w:sz w:val="23"/>
          <w:szCs w:val="23"/>
        </w:rPr>
        <w:t xml:space="preserve"> Grants </w:t>
      </w:r>
    </w:p>
    <w:p w:rsidR="002823BF" w:rsidRDefault="002823BF" w:rsidP="00DA4DCE">
      <w:pPr>
        <w:pStyle w:val="Default"/>
        <w:numPr>
          <w:ilvl w:val="0"/>
          <w:numId w:val="2"/>
        </w:numPr>
        <w:tabs>
          <w:tab w:val="left" w:pos="450"/>
        </w:tabs>
        <w:ind w:left="450" w:hanging="450"/>
        <w:rPr>
          <w:rFonts w:ascii="GBPOND+TimesNewRomanPSMT" w:hAnsi="GBPOND+TimesNewRomanPSMT" w:cs="GBPOND+TimesNewRomanPSMT"/>
          <w:color w:val="auto"/>
          <w:sz w:val="23"/>
          <w:szCs w:val="23"/>
        </w:rPr>
      </w:pPr>
      <w:r>
        <w:rPr>
          <w:rFonts w:ascii="GBPOND+TimesNewRomanPSMT" w:hAnsi="GBPOND+TimesNewRomanPSMT" w:cs="GBPOND+TimesNewRomanPSMT"/>
          <w:color w:val="auto"/>
          <w:sz w:val="23"/>
          <w:szCs w:val="23"/>
        </w:rPr>
        <w:t xml:space="preserve">Volunteer agency assistance </w:t>
      </w:r>
    </w:p>
    <w:p w:rsidR="002823BF" w:rsidRDefault="002823BF" w:rsidP="00DA4DCE">
      <w:pPr>
        <w:pStyle w:val="Default"/>
        <w:numPr>
          <w:ilvl w:val="0"/>
          <w:numId w:val="2"/>
        </w:numPr>
        <w:tabs>
          <w:tab w:val="left" w:pos="450"/>
        </w:tabs>
        <w:ind w:left="450" w:hanging="450"/>
        <w:rPr>
          <w:rFonts w:ascii="GBPOND+TimesNewRomanPSMT" w:hAnsi="GBPOND+TimesNewRomanPSMT" w:cs="GBPOND+TimesNewRomanPSMT"/>
          <w:color w:val="auto"/>
          <w:sz w:val="23"/>
          <w:szCs w:val="23"/>
        </w:rPr>
      </w:pPr>
      <w:r>
        <w:rPr>
          <w:rFonts w:ascii="GBPOND+TimesNewRomanPSMT" w:hAnsi="GBPOND+TimesNewRomanPSMT" w:cs="GBPOND+TimesNewRomanPSMT"/>
          <w:color w:val="auto"/>
          <w:sz w:val="23"/>
          <w:szCs w:val="23"/>
        </w:rPr>
        <w:t xml:space="preserve">Cora Brown Fund </w:t>
      </w:r>
    </w:p>
    <w:p w:rsidR="002823BF" w:rsidRDefault="002823BF" w:rsidP="00DA4DCE">
      <w:pPr>
        <w:pStyle w:val="Default"/>
        <w:numPr>
          <w:ilvl w:val="0"/>
          <w:numId w:val="2"/>
        </w:numPr>
        <w:tabs>
          <w:tab w:val="left" w:pos="450"/>
        </w:tabs>
        <w:ind w:left="450" w:hanging="450"/>
        <w:rPr>
          <w:rFonts w:ascii="GBPOND+TimesNewRomanPSMT" w:hAnsi="GBPOND+TimesNewRomanPSMT" w:cs="GBPOND+TimesNewRomanPSMT"/>
          <w:color w:val="auto"/>
          <w:sz w:val="23"/>
          <w:szCs w:val="23"/>
        </w:rPr>
      </w:pPr>
      <w:r>
        <w:rPr>
          <w:rFonts w:ascii="GBPOND+TimesNewRomanPSMT" w:hAnsi="GBPOND+TimesNewRomanPSMT" w:cs="GBPOND+TimesNewRomanPSMT"/>
          <w:color w:val="auto"/>
          <w:sz w:val="23"/>
          <w:szCs w:val="23"/>
        </w:rPr>
        <w:t xml:space="preserve">All other forms of additional assistance for structural repairs. </w:t>
      </w:r>
    </w:p>
    <w:p w:rsidR="002823BF" w:rsidRDefault="002823BF">
      <w:pPr>
        <w:pStyle w:val="Default"/>
        <w:rPr>
          <w:rFonts w:ascii="GBPOND+TimesNewRomanPSMT" w:hAnsi="GBPOND+TimesNewRomanPSMT" w:cs="GBPOND+TimesNewRomanPSMT"/>
          <w:color w:val="auto"/>
          <w:sz w:val="23"/>
          <w:szCs w:val="23"/>
        </w:rPr>
      </w:pPr>
    </w:p>
    <w:p w:rsidR="002823BF" w:rsidRDefault="00DA4DCE" w:rsidP="00DA4DCE">
      <w:pPr>
        <w:pStyle w:val="CM7"/>
        <w:spacing w:after="403" w:line="371" w:lineRule="atLeast"/>
        <w:ind w:right="-852"/>
        <w:rPr>
          <w:rFonts w:ascii="GBPOK J+ Helvetica" w:hAnsi="GBPOK J+ Helvetica" w:cs="GBPOK J+ Helvetica"/>
          <w:sz w:val="32"/>
          <w:szCs w:val="32"/>
        </w:rPr>
      </w:pPr>
      <w:r>
        <w:rPr>
          <w:rFonts w:ascii="GBPOK J+ Helvetica" w:hAnsi="GBPOK J+ Helvetica" w:cs="GBPOK J+ Helvetica"/>
          <w:b/>
          <w:bCs/>
          <w:i/>
          <w:iCs/>
          <w:sz w:val="32"/>
          <w:szCs w:val="32"/>
        </w:rPr>
        <w:t xml:space="preserve">Are non-federal </w:t>
      </w:r>
      <w:r w:rsidR="002823BF">
        <w:rPr>
          <w:rFonts w:ascii="GBPOK J+ Helvetica" w:hAnsi="GBPOK J+ Helvetica" w:cs="GBPOK J+ Helvetica"/>
          <w:b/>
          <w:bCs/>
          <w:i/>
          <w:iCs/>
          <w:sz w:val="32"/>
          <w:szCs w:val="32"/>
        </w:rPr>
        <w:t xml:space="preserve">payments considered under DOB? </w:t>
      </w:r>
    </w:p>
    <w:p w:rsidR="002823BF" w:rsidRDefault="002823BF">
      <w:pPr>
        <w:pStyle w:val="Default"/>
        <w:spacing w:line="276" w:lineRule="atLeast"/>
        <w:ind w:right="367"/>
        <w:rPr>
          <w:rFonts w:ascii="GBPOND+TimesNewRomanPSMT" w:hAnsi="GBPOND+TimesNewRomanPSMT" w:cs="GBPOND+TimesNewRomanPSMT"/>
          <w:color w:val="auto"/>
          <w:sz w:val="23"/>
          <w:szCs w:val="23"/>
        </w:rPr>
      </w:pPr>
      <w:r>
        <w:rPr>
          <w:rFonts w:ascii="GBPOND+TimesNewRomanPSMT" w:hAnsi="GBPOND+TimesNewRomanPSMT" w:cs="GBPOND+TimesNewRomanPSMT"/>
          <w:color w:val="auto"/>
          <w:sz w:val="23"/>
          <w:szCs w:val="23"/>
        </w:rPr>
        <w:t>Yes, funds received from any source and designated for structural repairs could be considered under duplication of benefits</w:t>
      </w:r>
      <w:r w:rsidR="00A55B35">
        <w:rPr>
          <w:rFonts w:ascii="GBPOND+TimesNewRomanPSMT" w:hAnsi="GBPOND+TimesNewRomanPSMT" w:cs="GBPOND+TimesNewRomanPSMT"/>
          <w:color w:val="auto"/>
          <w:sz w:val="23"/>
          <w:szCs w:val="23"/>
        </w:rPr>
        <w:t>.</w:t>
      </w:r>
    </w:p>
    <w:p w:rsidR="002823BF" w:rsidRDefault="002823BF">
      <w:pPr>
        <w:pStyle w:val="Default"/>
        <w:rPr>
          <w:rFonts w:cstheme="minorBidi"/>
          <w:color w:val="auto"/>
        </w:rPr>
        <w:sectPr w:rsidR="002823BF" w:rsidSect="00B600C7">
          <w:type w:val="continuous"/>
          <w:pgSz w:w="12240" w:h="16340"/>
          <w:pgMar w:top="1008" w:right="479" w:bottom="480" w:left="810" w:header="720" w:footer="720" w:gutter="0"/>
          <w:cols w:num="2" w:space="720" w:equalWidth="0">
            <w:col w:w="4500" w:space="540"/>
            <w:col w:w="4098"/>
          </w:cols>
          <w:noEndnote/>
        </w:sectPr>
      </w:pPr>
    </w:p>
    <w:p w:rsidR="002823BF" w:rsidRDefault="002823BF">
      <w:pPr>
        <w:pStyle w:val="Default"/>
        <w:pageBreakBefore/>
        <w:spacing w:after="403" w:line="371" w:lineRule="atLeast"/>
        <w:rPr>
          <w:rFonts w:ascii="GBPOK J+ Helvetica" w:hAnsi="GBPOK J+ Helvetica" w:cs="GBPOK J+ Helvetica"/>
          <w:color w:val="auto"/>
          <w:sz w:val="32"/>
          <w:szCs w:val="32"/>
        </w:rPr>
      </w:pPr>
      <w:r>
        <w:rPr>
          <w:rFonts w:ascii="GBPOK J+ Helvetica" w:hAnsi="GBPOK J+ Helvetica" w:cs="GBPOK J+ Helvetica"/>
          <w:b/>
          <w:bCs/>
          <w:i/>
          <w:iCs/>
          <w:color w:val="auto"/>
          <w:sz w:val="32"/>
          <w:szCs w:val="32"/>
        </w:rPr>
        <w:lastRenderedPageBreak/>
        <w:t xml:space="preserve">What if I have made repairs to the property? </w:t>
      </w:r>
    </w:p>
    <w:p w:rsidR="002823BF" w:rsidRDefault="002823BF">
      <w:pPr>
        <w:pStyle w:val="CM9"/>
        <w:spacing w:after="580" w:line="276" w:lineRule="atLeast"/>
        <w:ind w:firstLine="212"/>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If repairs have been completed, you have paid the repair costs in the full amount of the funds received, and you can produce receipts or other documentation, then no deductions would be made for DOB. Funds received for structural repairs, but not used for this purpose, would be deducted. </w:t>
      </w:r>
    </w:p>
    <w:p w:rsidR="002823BF" w:rsidRDefault="002823BF">
      <w:pPr>
        <w:pStyle w:val="CM7"/>
        <w:spacing w:after="405" w:line="371" w:lineRule="atLeast"/>
        <w:rPr>
          <w:rFonts w:ascii="GBPOK J+ Helvetica" w:hAnsi="GBPOK J+ Helvetica" w:cs="GBPOK J+ Helvetica"/>
          <w:sz w:val="32"/>
          <w:szCs w:val="32"/>
        </w:rPr>
      </w:pPr>
      <w:r>
        <w:rPr>
          <w:rFonts w:ascii="GBPOK J+ Helvetica" w:hAnsi="GBPOK J+ Helvetica" w:cs="GBPOK J+ Helvetica"/>
          <w:b/>
          <w:bCs/>
          <w:i/>
          <w:iCs/>
          <w:sz w:val="32"/>
          <w:szCs w:val="32"/>
        </w:rPr>
        <w:t xml:space="preserve">How would DOB affect the amount I would receive for my property? </w:t>
      </w:r>
    </w:p>
    <w:p w:rsidR="002823BF" w:rsidRDefault="002823BF">
      <w:pPr>
        <w:pStyle w:val="CM8"/>
        <w:spacing w:after="120" w:line="276" w:lineRule="atLeast"/>
        <w:ind w:firstLine="212"/>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The following are examples of how the final purchase offer is determined for the sale of your property. </w:t>
      </w:r>
    </w:p>
    <w:p w:rsidR="002823BF" w:rsidRDefault="002823BF">
      <w:pPr>
        <w:pStyle w:val="CM8"/>
        <w:spacing w:after="120" w:line="276" w:lineRule="atLeast"/>
        <w:ind w:firstLine="212"/>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(Duplication of Benefits will only be adjusted against the Structural Value of the agreed upon purchase price of the property.) </w:t>
      </w:r>
    </w:p>
    <w:p w:rsidR="002823BF" w:rsidRDefault="00D35848">
      <w:pPr>
        <w:pStyle w:val="CM7"/>
        <w:spacing w:after="412" w:line="276" w:lineRule="atLeast"/>
        <w:rPr>
          <w:rFonts w:cs="GBPOJ I+ Helvetica"/>
          <w:sz w:val="23"/>
          <w:szCs w:val="23"/>
        </w:rPr>
      </w:pPr>
      <w:r>
        <w:rPr>
          <w:noProof/>
        </w:rPr>
        <w:pict>
          <v:shapetype id="_x0000_t202" coordsize="21600,21600" o:spt="202" path="m,l,21600r21600,l21600,xe">
            <v:stroke joinstyle="miter"/>
            <v:path gradientshapeok="t" o:connecttype="rect"/>
          </v:shapetype>
          <v:shape id="_x0000_s1028" type="#_x0000_t202" style="position:absolute;margin-left:39.05pt;margin-top:435.2pt;width:263.95pt;height:207.1pt;z-index:251656704;mso-position-horizontal-relative:page;mso-position-vertical-relative:page" wrapcoords="0 0" o:allowincell="f" filled="f" stroked="f">
            <v:textbox>
              <w:txbxContent>
                <w:tbl>
                  <w:tblPr>
                    <w:tblW w:w="0" w:type="auto"/>
                    <w:tblLayout w:type="fixed"/>
                    <w:tblLook w:val="0000"/>
                  </w:tblPr>
                  <w:tblGrid>
                    <w:gridCol w:w="3092"/>
                    <w:gridCol w:w="1387"/>
                  </w:tblGrid>
                  <w:tr w:rsidR="00930196">
                    <w:tblPrEx>
                      <w:tblCellMar>
                        <w:top w:w="0" w:type="dxa"/>
                        <w:bottom w:w="0" w:type="dxa"/>
                      </w:tblCellMar>
                    </w:tblPrEx>
                    <w:trPr>
                      <w:trHeight w:val="120"/>
                    </w:trPr>
                    <w:tc>
                      <w:tcPr>
                        <w:tcW w:w="3092" w:type="dxa"/>
                      </w:tcPr>
                      <w:p w:rsidR="00930196" w:rsidRDefault="00930196">
                        <w:pPr>
                          <w:pStyle w:val="Default"/>
                          <w:rPr>
                            <w:rFonts w:ascii="GBPOND+TimesNewRomanPSMT" w:hAnsi="GBPOND+TimesNewRomanPSMT" w:cs="GBPOND+TimesNewRomanPSMT"/>
                            <w:sz w:val="23"/>
                            <w:szCs w:val="23"/>
                          </w:rPr>
                        </w:pPr>
                        <w:r>
                          <w:rPr>
                            <w:rFonts w:ascii="GBPOND+TimesNewRomanPSMT" w:hAnsi="GBPOND+TimesNewRomanPSMT" w:cs="GBPOND+TimesNewRomanPSMT"/>
                            <w:sz w:val="23"/>
                            <w:szCs w:val="23"/>
                          </w:rPr>
                          <w:t>Land Value (Appraised*)</w:t>
                        </w:r>
                      </w:p>
                    </w:tc>
                    <w:tc>
                      <w:tcPr>
                        <w:tcW w:w="1387" w:type="dxa"/>
                      </w:tcPr>
                      <w:p w:rsidR="00930196" w:rsidRDefault="00930196" w:rsidP="0067708D">
                        <w:pPr>
                          <w:pStyle w:val="Default"/>
                          <w:jc w:val="center"/>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$15,000 </w:t>
                        </w:r>
                      </w:p>
                    </w:tc>
                  </w:tr>
                  <w:tr w:rsidR="00930196">
                    <w:tblPrEx>
                      <w:tblCellMar>
                        <w:top w:w="0" w:type="dxa"/>
                        <w:bottom w:w="0" w:type="dxa"/>
                      </w:tblCellMar>
                    </w:tblPrEx>
                    <w:trPr>
                      <w:trHeight w:val="137"/>
                    </w:trPr>
                    <w:tc>
                      <w:tcPr>
                        <w:tcW w:w="3092" w:type="dxa"/>
                      </w:tcPr>
                      <w:p w:rsidR="00930196" w:rsidRDefault="00930196">
                        <w:pPr>
                          <w:pStyle w:val="Default"/>
                          <w:rPr>
                            <w:rFonts w:ascii="GBPOND+TimesNewRomanPSMT" w:hAnsi="GBPOND+TimesNewRomanPSMT" w:cs="GBPOND+TimesNewRomanPSMT"/>
                            <w:sz w:val="23"/>
                            <w:szCs w:val="23"/>
                          </w:rPr>
                        </w:pPr>
                        <w:r>
                          <w:rPr>
                            <w:rFonts w:ascii="GBPOND+TimesNewRomanPSMT" w:hAnsi="GBPOND+TimesNewRomanPSMT" w:cs="GBPOND+TimesNewRomanPSMT"/>
                            <w:sz w:val="23"/>
                            <w:szCs w:val="23"/>
                          </w:rPr>
                          <w:t>Structural Value (Appraised*)</w:t>
                        </w:r>
                      </w:p>
                    </w:tc>
                    <w:tc>
                      <w:tcPr>
                        <w:tcW w:w="1387" w:type="dxa"/>
                      </w:tcPr>
                      <w:p w:rsidR="00930196" w:rsidRPr="00DA4DCE" w:rsidRDefault="00930196" w:rsidP="0067708D">
                        <w:pPr>
                          <w:pStyle w:val="Default"/>
                          <w:jc w:val="center"/>
                          <w:rPr>
                            <w:rFonts w:ascii="GBPOND+TimesNewRomanPSMT" w:hAnsi="GBPOND+TimesNewRomanPSMT" w:cs="GBPOND+TimesNewRomanPSMT"/>
                            <w:sz w:val="23"/>
                            <w:szCs w:val="23"/>
                            <w:u w:val="single"/>
                          </w:rPr>
                        </w:pPr>
                        <w:r w:rsidRPr="00DA4DCE">
                          <w:rPr>
                            <w:rFonts w:ascii="GBPOND+TimesNewRomanPSMT" w:hAnsi="GBPOND+TimesNewRomanPSMT" w:cs="GBPOND+TimesNewRomanPSMT"/>
                            <w:sz w:val="23"/>
                            <w:szCs w:val="23"/>
                            <w:u w:val="single"/>
                          </w:rPr>
                          <w:t>$</w:t>
                        </w:r>
                        <w:r>
                          <w:rPr>
                            <w:rFonts w:ascii="GBPOND+TimesNewRomanPSMT" w:hAnsi="GBPOND+TimesNewRomanPSMT" w:cs="GBPOND+TimesNewRomanPSMT"/>
                            <w:sz w:val="23"/>
                            <w:szCs w:val="23"/>
                            <w:u w:val="single"/>
                          </w:rPr>
                          <w:t>9</w:t>
                        </w:r>
                        <w:r w:rsidRPr="00DA4DCE">
                          <w:rPr>
                            <w:rFonts w:ascii="GBPOND+TimesNewRomanPSMT" w:hAnsi="GBPOND+TimesNewRomanPSMT" w:cs="GBPOND+TimesNewRomanPSMT"/>
                            <w:sz w:val="23"/>
                            <w:szCs w:val="23"/>
                            <w:u w:val="single"/>
                          </w:rPr>
                          <w:t xml:space="preserve">0,000 </w:t>
                        </w:r>
                      </w:p>
                    </w:tc>
                  </w:tr>
                  <w:tr w:rsidR="00930196">
                    <w:tblPrEx>
                      <w:tblCellMar>
                        <w:top w:w="0" w:type="dxa"/>
                        <w:bottom w:w="0" w:type="dxa"/>
                      </w:tblCellMar>
                    </w:tblPrEx>
                    <w:trPr>
                      <w:trHeight w:val="206"/>
                    </w:trPr>
                    <w:tc>
                      <w:tcPr>
                        <w:tcW w:w="3092" w:type="dxa"/>
                      </w:tcPr>
                      <w:p w:rsidR="00930196" w:rsidRDefault="00930196">
                        <w:pPr>
                          <w:pStyle w:val="Default"/>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Total Purchase Price </w:t>
                        </w:r>
                      </w:p>
                    </w:tc>
                    <w:tc>
                      <w:tcPr>
                        <w:tcW w:w="1387" w:type="dxa"/>
                      </w:tcPr>
                      <w:p w:rsidR="00930196" w:rsidRDefault="00930196" w:rsidP="0067708D">
                        <w:pPr>
                          <w:pStyle w:val="Default"/>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 $105,000 </w:t>
                        </w:r>
                      </w:p>
                    </w:tc>
                  </w:tr>
                  <w:tr w:rsidR="00930196">
                    <w:tblPrEx>
                      <w:tblCellMar>
                        <w:top w:w="0" w:type="dxa"/>
                        <w:bottom w:w="0" w:type="dxa"/>
                      </w:tblCellMar>
                    </w:tblPrEx>
                    <w:trPr>
                      <w:trHeight w:val="198"/>
                    </w:trPr>
                    <w:tc>
                      <w:tcPr>
                        <w:tcW w:w="3092" w:type="dxa"/>
                        <w:vAlign w:val="bottom"/>
                      </w:tcPr>
                      <w:p w:rsidR="00930196" w:rsidRDefault="00930196">
                        <w:pPr>
                          <w:pStyle w:val="Default"/>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Flood Insurance funds </w:t>
                        </w:r>
                      </w:p>
                    </w:tc>
                    <w:tc>
                      <w:tcPr>
                        <w:tcW w:w="1387" w:type="dxa"/>
                      </w:tcPr>
                      <w:p w:rsidR="00930196" w:rsidRDefault="00930196">
                        <w:pPr>
                          <w:pStyle w:val="Default"/>
                          <w:jc w:val="center"/>
                          <w:rPr>
                            <w:rFonts w:cstheme="minorBidi"/>
                            <w:color w:val="auto"/>
                          </w:rPr>
                        </w:pPr>
                      </w:p>
                    </w:tc>
                  </w:tr>
                  <w:tr w:rsidR="00930196">
                    <w:tblPrEx>
                      <w:tblCellMar>
                        <w:top w:w="0" w:type="dxa"/>
                        <w:bottom w:w="0" w:type="dxa"/>
                      </w:tblCellMar>
                    </w:tblPrEx>
                    <w:trPr>
                      <w:trHeight w:val="146"/>
                    </w:trPr>
                    <w:tc>
                      <w:tcPr>
                        <w:tcW w:w="3092" w:type="dxa"/>
                        <w:vAlign w:val="center"/>
                      </w:tcPr>
                      <w:p w:rsidR="00930196" w:rsidRDefault="00930196">
                        <w:pPr>
                          <w:pStyle w:val="Default"/>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received </w:t>
                        </w:r>
                      </w:p>
                    </w:tc>
                    <w:tc>
                      <w:tcPr>
                        <w:tcW w:w="1387" w:type="dxa"/>
                        <w:vAlign w:val="center"/>
                      </w:tcPr>
                      <w:p w:rsidR="00930196" w:rsidRDefault="00930196">
                        <w:pPr>
                          <w:pStyle w:val="Default"/>
                          <w:jc w:val="center"/>
                          <w:rPr>
                            <w:rFonts w:ascii="GBPOND+TimesNewRomanPSMT" w:hAnsi="GBPOND+TimesNewRomanPSMT" w:cs="GBPOND+TimesNewRomanPSMT"/>
                            <w:sz w:val="23"/>
                            <w:szCs w:val="23"/>
                          </w:rPr>
                        </w:pPr>
                        <w:r>
                          <w:rPr>
                            <w:rFonts w:ascii="GBPOND+TimesNewRomanPSMT" w:hAnsi="GBPOND+TimesNewRomanPSMT" w:cs="GBPOND+TimesNewRomanPSMT"/>
                            <w:sz w:val="23"/>
                            <w:szCs w:val="23"/>
                          </w:rPr>
                          <w:t>&lt;</w:t>
                        </w:r>
                        <w:r w:rsidRPr="00930196">
                          <w:rPr>
                            <w:rFonts w:ascii="GBPOND+TimesNewRomanPSMT" w:hAnsi="GBPOND+TimesNewRomanPSMT" w:cs="GBPOND+TimesNewRomanPSMT"/>
                            <w:color w:val="FF0000"/>
                            <w:sz w:val="23"/>
                            <w:szCs w:val="23"/>
                          </w:rPr>
                          <w:t>$30,000</w:t>
                        </w:r>
                        <w:r>
                          <w:rPr>
                            <w:rFonts w:ascii="GBPOND+TimesNewRomanPSMT" w:hAnsi="GBPOND+TimesNewRomanPSMT" w:cs="GBPOND+TimesNewRomanPSMT"/>
                            <w:sz w:val="23"/>
                            <w:szCs w:val="23"/>
                          </w:rPr>
                          <w:t xml:space="preserve">&gt; </w:t>
                        </w:r>
                      </w:p>
                    </w:tc>
                  </w:tr>
                  <w:tr w:rsidR="00930196">
                    <w:tblPrEx>
                      <w:tblCellMar>
                        <w:top w:w="0" w:type="dxa"/>
                        <w:bottom w:w="0" w:type="dxa"/>
                      </w:tblCellMar>
                    </w:tblPrEx>
                    <w:trPr>
                      <w:trHeight w:val="141"/>
                    </w:trPr>
                    <w:tc>
                      <w:tcPr>
                        <w:tcW w:w="3092" w:type="dxa"/>
                      </w:tcPr>
                      <w:p w:rsidR="00930196" w:rsidRDefault="00930196">
                        <w:pPr>
                          <w:pStyle w:val="Default"/>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Emergency Repair funds </w:t>
                        </w:r>
                      </w:p>
                    </w:tc>
                    <w:tc>
                      <w:tcPr>
                        <w:tcW w:w="1387" w:type="dxa"/>
                      </w:tcPr>
                      <w:p w:rsidR="00930196" w:rsidRDefault="00930196">
                        <w:pPr>
                          <w:pStyle w:val="Default"/>
                          <w:jc w:val="center"/>
                          <w:rPr>
                            <w:rFonts w:cstheme="minorBidi"/>
                            <w:color w:val="auto"/>
                          </w:rPr>
                        </w:pPr>
                      </w:p>
                    </w:tc>
                  </w:tr>
                  <w:tr w:rsidR="00930196">
                    <w:tblPrEx>
                      <w:tblCellMar>
                        <w:top w:w="0" w:type="dxa"/>
                        <w:bottom w:w="0" w:type="dxa"/>
                      </w:tblCellMar>
                    </w:tblPrEx>
                    <w:trPr>
                      <w:trHeight w:val="137"/>
                    </w:trPr>
                    <w:tc>
                      <w:tcPr>
                        <w:tcW w:w="3092" w:type="dxa"/>
                      </w:tcPr>
                      <w:p w:rsidR="00930196" w:rsidRDefault="00930196">
                        <w:pPr>
                          <w:pStyle w:val="Default"/>
                          <w:rPr>
                            <w:rFonts w:ascii="GCBIHD+TimesNewRomanPS" w:hAnsi="GCBIHD+TimesNewRomanPS" w:cs="GCBIHD+TimesNewRomanPS"/>
                            <w:sz w:val="23"/>
                            <w:szCs w:val="23"/>
                          </w:rPr>
                        </w:pPr>
                        <w:r>
                          <w:rPr>
                            <w:rFonts w:ascii="GBPOND+TimesNewRomanPSMT" w:hAnsi="GBPOND+TimesNewRomanPSMT" w:cs="GBPOND+TimesNewRomanPSMT"/>
                            <w:sz w:val="23"/>
                            <w:szCs w:val="23"/>
                          </w:rPr>
                          <w:t xml:space="preserve">received </w:t>
                        </w:r>
                        <w:r>
                          <w:rPr>
                            <w:rFonts w:ascii="GCBIHD+TimesNewRomanPS" w:hAnsi="GCBIHD+TimesNewRomanPS" w:cs="GCBIHD+TimesNewRomanPS"/>
                            <w:sz w:val="23"/>
                            <w:szCs w:val="23"/>
                          </w:rPr>
                          <w:t xml:space="preserve">(Disaster Housing) </w:t>
                        </w:r>
                      </w:p>
                    </w:tc>
                    <w:tc>
                      <w:tcPr>
                        <w:tcW w:w="1387" w:type="dxa"/>
                      </w:tcPr>
                      <w:p w:rsidR="00930196" w:rsidRDefault="00930196">
                        <w:pPr>
                          <w:pStyle w:val="Default"/>
                          <w:jc w:val="center"/>
                          <w:rPr>
                            <w:rFonts w:ascii="GBPOND+TimesNewRomanPSMT" w:hAnsi="GBPOND+TimesNewRomanPSMT" w:cs="GBPOND+TimesNewRomanPSMT"/>
                            <w:sz w:val="23"/>
                            <w:szCs w:val="23"/>
                          </w:rPr>
                        </w:pPr>
                        <w:r>
                          <w:rPr>
                            <w:rFonts w:ascii="GBPOND+TimesNewRomanPSMT" w:hAnsi="GBPOND+TimesNewRomanPSMT" w:cs="GBPOND+TimesNewRomanPSMT"/>
                            <w:sz w:val="23"/>
                            <w:szCs w:val="23"/>
                          </w:rPr>
                          <w:t>&lt;</w:t>
                        </w:r>
                        <w:r w:rsidRPr="00930196">
                          <w:rPr>
                            <w:rFonts w:ascii="GBPOND+TimesNewRomanPSMT" w:hAnsi="GBPOND+TimesNewRomanPSMT" w:cs="GBPOND+TimesNewRomanPSMT"/>
                            <w:color w:val="FF0000"/>
                            <w:sz w:val="23"/>
                            <w:szCs w:val="23"/>
                          </w:rPr>
                          <w:t>$2,000</w:t>
                        </w:r>
                        <w:r>
                          <w:rPr>
                            <w:rFonts w:ascii="GBPOND+TimesNewRomanPSMT" w:hAnsi="GBPOND+TimesNewRomanPSMT" w:cs="GBPOND+TimesNewRomanPSMT"/>
                            <w:sz w:val="23"/>
                            <w:szCs w:val="23"/>
                          </w:rPr>
                          <w:t xml:space="preserve">&gt; </w:t>
                        </w:r>
                      </w:p>
                    </w:tc>
                  </w:tr>
                  <w:tr w:rsidR="00930196">
                    <w:tblPrEx>
                      <w:tblCellMar>
                        <w:top w:w="0" w:type="dxa"/>
                        <w:bottom w:w="0" w:type="dxa"/>
                      </w:tblCellMar>
                    </w:tblPrEx>
                    <w:trPr>
                      <w:trHeight w:val="137"/>
                    </w:trPr>
                    <w:tc>
                      <w:tcPr>
                        <w:tcW w:w="3092" w:type="dxa"/>
                      </w:tcPr>
                      <w:p w:rsidR="00930196" w:rsidRDefault="00930196">
                        <w:pPr>
                          <w:pStyle w:val="Default"/>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Receipts for Repairs                                 </w:t>
                        </w:r>
                      </w:p>
                    </w:tc>
                    <w:tc>
                      <w:tcPr>
                        <w:tcW w:w="1387" w:type="dxa"/>
                      </w:tcPr>
                      <w:p w:rsidR="00930196" w:rsidRPr="00DA4DCE" w:rsidRDefault="00930196" w:rsidP="00930196">
                        <w:pPr>
                          <w:pStyle w:val="Default"/>
                          <w:jc w:val="center"/>
                          <w:rPr>
                            <w:rFonts w:ascii="GBPOND+TimesNewRomanPSMT" w:hAnsi="GBPOND+TimesNewRomanPSMT" w:cs="GBPOND+TimesNewRomanPSMT"/>
                            <w:sz w:val="23"/>
                            <w:szCs w:val="23"/>
                            <w:u w:val="single"/>
                          </w:rPr>
                        </w:pPr>
                        <w:r w:rsidRPr="00DA4DCE">
                          <w:rPr>
                            <w:rFonts w:ascii="GBPOND+TimesNewRomanPSMT" w:hAnsi="GBPOND+TimesNewRomanPSMT" w:cs="GBPOND+TimesNewRomanPSMT"/>
                            <w:sz w:val="23"/>
                            <w:szCs w:val="23"/>
                            <w:u w:val="single"/>
                          </w:rPr>
                          <w:t>$</w:t>
                        </w:r>
                        <w:r>
                          <w:rPr>
                            <w:rFonts w:ascii="GBPOND+TimesNewRomanPSMT" w:hAnsi="GBPOND+TimesNewRomanPSMT" w:cs="GBPOND+TimesNewRomanPSMT"/>
                            <w:sz w:val="23"/>
                            <w:szCs w:val="23"/>
                            <w:u w:val="single"/>
                          </w:rPr>
                          <w:t>0</w:t>
                        </w:r>
                        <w:r w:rsidRPr="00DA4DCE">
                          <w:rPr>
                            <w:rFonts w:ascii="GBPOND+TimesNewRomanPSMT" w:hAnsi="GBPOND+TimesNewRomanPSMT" w:cs="GBPOND+TimesNewRomanPSMT"/>
                            <w:sz w:val="23"/>
                            <w:szCs w:val="23"/>
                            <w:u w:val="single"/>
                          </w:rPr>
                          <w:t xml:space="preserve"> </w:t>
                        </w:r>
                      </w:p>
                    </w:tc>
                  </w:tr>
                  <w:tr w:rsidR="00930196">
                    <w:tblPrEx>
                      <w:tblCellMar>
                        <w:top w:w="0" w:type="dxa"/>
                        <w:bottom w:w="0" w:type="dxa"/>
                      </w:tblCellMar>
                    </w:tblPrEx>
                    <w:trPr>
                      <w:trHeight w:val="202"/>
                    </w:trPr>
                    <w:tc>
                      <w:tcPr>
                        <w:tcW w:w="3092" w:type="dxa"/>
                      </w:tcPr>
                      <w:p w:rsidR="00930196" w:rsidRDefault="00930196">
                        <w:pPr>
                          <w:pStyle w:val="Default"/>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Total of DOB </w:t>
                        </w:r>
                      </w:p>
                    </w:tc>
                    <w:tc>
                      <w:tcPr>
                        <w:tcW w:w="1387" w:type="dxa"/>
                      </w:tcPr>
                      <w:p w:rsidR="00930196" w:rsidRDefault="00930196" w:rsidP="00930196">
                        <w:pPr>
                          <w:pStyle w:val="Default"/>
                          <w:jc w:val="center"/>
                          <w:rPr>
                            <w:rFonts w:ascii="GBPOND+TimesNewRomanPSMT" w:hAnsi="GBPOND+TimesNewRomanPSMT" w:cs="GBPOND+TimesNewRomanPSMT"/>
                            <w:sz w:val="23"/>
                            <w:szCs w:val="23"/>
                          </w:rPr>
                        </w:pPr>
                        <w:r>
                          <w:rPr>
                            <w:rFonts w:ascii="GBPOND+TimesNewRomanPSMT" w:hAnsi="GBPOND+TimesNewRomanPSMT" w:cs="GBPOND+TimesNewRomanPSMT"/>
                            <w:sz w:val="23"/>
                            <w:szCs w:val="23"/>
                          </w:rPr>
                          <w:t>&lt;</w:t>
                        </w:r>
                        <w:r w:rsidRPr="00930196">
                          <w:rPr>
                            <w:rFonts w:ascii="GBPOND+TimesNewRomanPSMT" w:hAnsi="GBPOND+TimesNewRomanPSMT" w:cs="GBPOND+TimesNewRomanPSMT"/>
                            <w:color w:val="FF0000"/>
                            <w:sz w:val="23"/>
                            <w:szCs w:val="23"/>
                          </w:rPr>
                          <w:t>$</w:t>
                        </w:r>
                        <w:r>
                          <w:rPr>
                            <w:rFonts w:ascii="GBPOND+TimesNewRomanPSMT" w:hAnsi="GBPOND+TimesNewRomanPSMT" w:cs="GBPOND+TimesNewRomanPSMT"/>
                            <w:color w:val="FF0000"/>
                            <w:sz w:val="23"/>
                            <w:szCs w:val="23"/>
                          </w:rPr>
                          <w:t>32</w:t>
                        </w:r>
                        <w:r w:rsidRPr="00930196">
                          <w:rPr>
                            <w:rFonts w:ascii="GBPOND+TimesNewRomanPSMT" w:hAnsi="GBPOND+TimesNewRomanPSMT" w:cs="GBPOND+TimesNewRomanPSMT"/>
                            <w:color w:val="FF0000"/>
                            <w:sz w:val="23"/>
                            <w:szCs w:val="23"/>
                          </w:rPr>
                          <w:t>,000</w:t>
                        </w:r>
                        <w:r>
                          <w:rPr>
                            <w:rFonts w:ascii="GBPOND+TimesNewRomanPSMT" w:hAnsi="GBPOND+TimesNewRomanPSMT" w:cs="GBPOND+TimesNewRomanPSMT"/>
                            <w:sz w:val="23"/>
                            <w:szCs w:val="23"/>
                          </w:rPr>
                          <w:t xml:space="preserve">&gt; </w:t>
                        </w:r>
                      </w:p>
                    </w:tc>
                  </w:tr>
                  <w:tr w:rsidR="00930196">
                    <w:tblPrEx>
                      <w:tblCellMar>
                        <w:top w:w="0" w:type="dxa"/>
                        <w:bottom w:w="0" w:type="dxa"/>
                      </w:tblCellMar>
                    </w:tblPrEx>
                    <w:trPr>
                      <w:trHeight w:val="207"/>
                    </w:trPr>
                    <w:tc>
                      <w:tcPr>
                        <w:tcW w:w="3092" w:type="dxa"/>
                        <w:vAlign w:val="bottom"/>
                      </w:tcPr>
                      <w:p w:rsidR="00930196" w:rsidRDefault="00930196">
                        <w:pPr>
                          <w:pStyle w:val="Default"/>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Structural Value </w:t>
                        </w:r>
                      </w:p>
                    </w:tc>
                    <w:tc>
                      <w:tcPr>
                        <w:tcW w:w="1387" w:type="dxa"/>
                        <w:vAlign w:val="bottom"/>
                      </w:tcPr>
                      <w:p w:rsidR="00930196" w:rsidRDefault="00930196" w:rsidP="0063267E">
                        <w:pPr>
                          <w:pStyle w:val="Default"/>
                          <w:jc w:val="center"/>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$90,000 </w:t>
                        </w:r>
                      </w:p>
                    </w:tc>
                  </w:tr>
                  <w:tr w:rsidR="00930196">
                    <w:tblPrEx>
                      <w:tblCellMar>
                        <w:top w:w="0" w:type="dxa"/>
                        <w:bottom w:w="0" w:type="dxa"/>
                      </w:tblCellMar>
                    </w:tblPrEx>
                    <w:trPr>
                      <w:trHeight w:val="137"/>
                    </w:trPr>
                    <w:tc>
                      <w:tcPr>
                        <w:tcW w:w="3092" w:type="dxa"/>
                      </w:tcPr>
                      <w:p w:rsidR="00930196" w:rsidRDefault="00930196">
                        <w:pPr>
                          <w:pStyle w:val="Default"/>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Less Total DOB </w:t>
                        </w:r>
                      </w:p>
                    </w:tc>
                    <w:tc>
                      <w:tcPr>
                        <w:tcW w:w="1387" w:type="dxa"/>
                      </w:tcPr>
                      <w:p w:rsidR="00930196" w:rsidRPr="00DA4DCE" w:rsidRDefault="00930196" w:rsidP="00930196">
                        <w:pPr>
                          <w:pStyle w:val="Default"/>
                          <w:jc w:val="center"/>
                          <w:rPr>
                            <w:rFonts w:ascii="GBPOND+TimesNewRomanPSMT" w:hAnsi="GBPOND+TimesNewRomanPSMT" w:cs="GBPOND+TimesNewRomanPSMT"/>
                            <w:sz w:val="23"/>
                            <w:szCs w:val="23"/>
                            <w:u w:val="single"/>
                          </w:rPr>
                        </w:pPr>
                        <w:r>
                          <w:rPr>
                            <w:rFonts w:ascii="GBPOND+TimesNewRomanPSMT" w:hAnsi="GBPOND+TimesNewRomanPSMT" w:cs="GBPOND+TimesNewRomanPSMT"/>
                            <w:sz w:val="23"/>
                            <w:szCs w:val="23"/>
                            <w:u w:val="single"/>
                          </w:rPr>
                          <w:t>&lt;</w:t>
                        </w:r>
                        <w:r w:rsidRPr="00930196">
                          <w:rPr>
                            <w:rFonts w:ascii="GBPOND+TimesNewRomanPSMT" w:hAnsi="GBPOND+TimesNewRomanPSMT" w:cs="GBPOND+TimesNewRomanPSMT"/>
                            <w:color w:val="FF0000"/>
                            <w:sz w:val="23"/>
                            <w:szCs w:val="23"/>
                            <w:u w:val="single"/>
                          </w:rPr>
                          <w:t>$</w:t>
                        </w:r>
                        <w:r>
                          <w:rPr>
                            <w:rFonts w:ascii="GBPOND+TimesNewRomanPSMT" w:hAnsi="GBPOND+TimesNewRomanPSMT" w:cs="GBPOND+TimesNewRomanPSMT"/>
                            <w:color w:val="FF0000"/>
                            <w:sz w:val="23"/>
                            <w:szCs w:val="23"/>
                            <w:u w:val="single"/>
                          </w:rPr>
                          <w:t>32</w:t>
                        </w:r>
                        <w:r w:rsidRPr="00930196">
                          <w:rPr>
                            <w:rFonts w:ascii="GBPOND+TimesNewRomanPSMT" w:hAnsi="GBPOND+TimesNewRomanPSMT" w:cs="GBPOND+TimesNewRomanPSMT"/>
                            <w:color w:val="FF0000"/>
                            <w:sz w:val="23"/>
                            <w:szCs w:val="23"/>
                            <w:u w:val="single"/>
                          </w:rPr>
                          <w:t>,000</w:t>
                        </w:r>
                        <w:r>
                          <w:rPr>
                            <w:rFonts w:ascii="GBPOND+TimesNewRomanPSMT" w:hAnsi="GBPOND+TimesNewRomanPSMT" w:cs="GBPOND+TimesNewRomanPSMT"/>
                            <w:sz w:val="23"/>
                            <w:szCs w:val="23"/>
                            <w:u w:val="single"/>
                          </w:rPr>
                          <w:t>&gt;</w:t>
                        </w:r>
                        <w:r w:rsidRPr="00DA4DCE">
                          <w:rPr>
                            <w:rFonts w:ascii="GBPOND+TimesNewRomanPSMT" w:hAnsi="GBPOND+TimesNewRomanPSMT" w:cs="GBPOND+TimesNewRomanPSMT"/>
                            <w:sz w:val="23"/>
                            <w:szCs w:val="23"/>
                            <w:u w:val="single"/>
                          </w:rPr>
                          <w:t xml:space="preserve"> </w:t>
                        </w:r>
                      </w:p>
                    </w:tc>
                  </w:tr>
                  <w:tr w:rsidR="00930196">
                    <w:tblPrEx>
                      <w:tblCellMar>
                        <w:top w:w="0" w:type="dxa"/>
                        <w:bottom w:w="0" w:type="dxa"/>
                      </w:tblCellMar>
                    </w:tblPrEx>
                    <w:trPr>
                      <w:trHeight w:val="141"/>
                    </w:trPr>
                    <w:tc>
                      <w:tcPr>
                        <w:tcW w:w="3092" w:type="dxa"/>
                      </w:tcPr>
                      <w:p w:rsidR="00930196" w:rsidRDefault="00930196">
                        <w:pPr>
                          <w:pStyle w:val="Default"/>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Balance to property owner </w:t>
                        </w:r>
                      </w:p>
                    </w:tc>
                    <w:tc>
                      <w:tcPr>
                        <w:tcW w:w="1387" w:type="dxa"/>
                      </w:tcPr>
                      <w:p w:rsidR="00930196" w:rsidRDefault="00930196" w:rsidP="00930196">
                        <w:pPr>
                          <w:pStyle w:val="Default"/>
                          <w:jc w:val="center"/>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$58,000 </w:t>
                        </w:r>
                      </w:p>
                    </w:tc>
                  </w:tr>
                  <w:tr w:rsidR="00930196">
                    <w:tblPrEx>
                      <w:tblCellMar>
                        <w:top w:w="0" w:type="dxa"/>
                        <w:bottom w:w="0" w:type="dxa"/>
                      </w:tblCellMar>
                    </w:tblPrEx>
                    <w:trPr>
                      <w:trHeight w:val="126"/>
                    </w:trPr>
                    <w:tc>
                      <w:tcPr>
                        <w:tcW w:w="3092" w:type="dxa"/>
                        <w:vAlign w:val="center"/>
                      </w:tcPr>
                      <w:p w:rsidR="00930196" w:rsidRDefault="00930196">
                        <w:pPr>
                          <w:pStyle w:val="Default"/>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for structure </w:t>
                        </w:r>
                      </w:p>
                    </w:tc>
                    <w:tc>
                      <w:tcPr>
                        <w:tcW w:w="1387" w:type="dxa"/>
                      </w:tcPr>
                      <w:p w:rsidR="00930196" w:rsidRDefault="00930196">
                        <w:pPr>
                          <w:pStyle w:val="Default"/>
                          <w:jc w:val="center"/>
                          <w:rPr>
                            <w:rFonts w:cstheme="minorBidi"/>
                            <w:color w:val="auto"/>
                          </w:rPr>
                        </w:pPr>
                      </w:p>
                    </w:tc>
                  </w:tr>
                  <w:tr w:rsidR="00930196">
                    <w:tblPrEx>
                      <w:tblCellMar>
                        <w:top w:w="0" w:type="dxa"/>
                        <w:bottom w:w="0" w:type="dxa"/>
                      </w:tblCellMar>
                    </w:tblPrEx>
                    <w:trPr>
                      <w:trHeight w:val="150"/>
                    </w:trPr>
                    <w:tc>
                      <w:tcPr>
                        <w:tcW w:w="3092" w:type="dxa"/>
                        <w:vAlign w:val="center"/>
                      </w:tcPr>
                      <w:p w:rsidR="00930196" w:rsidRDefault="00930196">
                        <w:pPr>
                          <w:pStyle w:val="Default"/>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Payment for land value </w:t>
                        </w:r>
                      </w:p>
                    </w:tc>
                    <w:tc>
                      <w:tcPr>
                        <w:tcW w:w="1387" w:type="dxa"/>
                        <w:vAlign w:val="center"/>
                      </w:tcPr>
                      <w:p w:rsidR="00930196" w:rsidRPr="00DA4DCE" w:rsidRDefault="00930196" w:rsidP="0063267E">
                        <w:pPr>
                          <w:pStyle w:val="Default"/>
                          <w:jc w:val="center"/>
                          <w:rPr>
                            <w:rFonts w:ascii="GBPOND+TimesNewRomanPSMT" w:hAnsi="GBPOND+TimesNewRomanPSMT" w:cs="GBPOND+TimesNewRomanPSMT"/>
                            <w:sz w:val="23"/>
                            <w:szCs w:val="23"/>
                            <w:u w:val="single"/>
                          </w:rPr>
                        </w:pPr>
                        <w:r w:rsidRPr="00DA4DCE">
                          <w:rPr>
                            <w:rFonts w:ascii="GBPOND+TimesNewRomanPSMT" w:hAnsi="GBPOND+TimesNewRomanPSMT" w:cs="GBPOND+TimesNewRomanPSMT"/>
                            <w:sz w:val="23"/>
                            <w:szCs w:val="23"/>
                            <w:u w:val="single"/>
                          </w:rPr>
                          <w:t>$1</w:t>
                        </w:r>
                        <w:r>
                          <w:rPr>
                            <w:rFonts w:ascii="GBPOND+TimesNewRomanPSMT" w:hAnsi="GBPOND+TimesNewRomanPSMT" w:cs="GBPOND+TimesNewRomanPSMT"/>
                            <w:sz w:val="23"/>
                            <w:szCs w:val="23"/>
                            <w:u w:val="single"/>
                          </w:rPr>
                          <w:t>5</w:t>
                        </w:r>
                        <w:r w:rsidRPr="00DA4DCE">
                          <w:rPr>
                            <w:rFonts w:ascii="GBPOND+TimesNewRomanPSMT" w:hAnsi="GBPOND+TimesNewRomanPSMT" w:cs="GBPOND+TimesNewRomanPSMT"/>
                            <w:sz w:val="23"/>
                            <w:szCs w:val="23"/>
                            <w:u w:val="single"/>
                          </w:rPr>
                          <w:t xml:space="preserve">,000 </w:t>
                        </w:r>
                      </w:p>
                    </w:tc>
                  </w:tr>
                  <w:tr w:rsidR="00930196">
                    <w:tblPrEx>
                      <w:tblCellMar>
                        <w:top w:w="0" w:type="dxa"/>
                        <w:bottom w:w="0" w:type="dxa"/>
                      </w:tblCellMar>
                    </w:tblPrEx>
                    <w:trPr>
                      <w:trHeight w:val="121"/>
                    </w:trPr>
                    <w:tc>
                      <w:tcPr>
                        <w:tcW w:w="3092" w:type="dxa"/>
                        <w:vAlign w:val="center"/>
                      </w:tcPr>
                      <w:p w:rsidR="00930196" w:rsidRDefault="00930196">
                        <w:pPr>
                          <w:pStyle w:val="Default"/>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Total Payment at closing </w:t>
                        </w:r>
                      </w:p>
                    </w:tc>
                    <w:tc>
                      <w:tcPr>
                        <w:tcW w:w="1387" w:type="dxa"/>
                        <w:vAlign w:val="center"/>
                      </w:tcPr>
                      <w:p w:rsidR="00930196" w:rsidRDefault="00930196" w:rsidP="00C7333C">
                        <w:pPr>
                          <w:pStyle w:val="Default"/>
                          <w:jc w:val="center"/>
                          <w:rPr>
                            <w:rFonts w:ascii="GBPOND+TimesNewRomanPSMT" w:hAnsi="GBPOND+TimesNewRomanPSMT" w:cs="GBPOND+TimesNewRomanPSMT"/>
                            <w:sz w:val="23"/>
                            <w:szCs w:val="23"/>
                          </w:rPr>
                        </w:pPr>
                        <w:r>
                          <w:rPr>
                            <w:rFonts w:ascii="GBPOND+TimesNewRomanPSMT" w:hAnsi="GBPOND+TimesNewRomanPSMT" w:cs="GBPOND+TimesNewRomanPSMT"/>
                            <w:sz w:val="23"/>
                            <w:szCs w:val="23"/>
                          </w:rPr>
                          <w:t>$7</w:t>
                        </w:r>
                        <w:r w:rsidR="00C7333C">
                          <w:rPr>
                            <w:rFonts w:ascii="GBPOND+TimesNewRomanPSMT" w:hAnsi="GBPOND+TimesNewRomanPSMT" w:cs="GBPOND+TimesNewRomanPSMT"/>
                            <w:sz w:val="23"/>
                            <w:szCs w:val="23"/>
                          </w:rPr>
                          <w:t>3</w:t>
                        </w:r>
                        <w:r>
                          <w:rPr>
                            <w:rFonts w:ascii="GBPOND+TimesNewRomanPSMT" w:hAnsi="GBPOND+TimesNewRomanPSMT" w:cs="GBPOND+TimesNewRomanPSMT"/>
                            <w:sz w:val="23"/>
                            <w:szCs w:val="23"/>
                          </w:rPr>
                          <w:t xml:space="preserve">,000 </w:t>
                        </w:r>
                      </w:p>
                    </w:tc>
                  </w:tr>
                </w:tbl>
              </w:txbxContent>
            </v:textbox>
            <w10:wrap type="through" anchorx="page" anchory="page"/>
          </v:shape>
        </w:pict>
      </w:r>
      <w:r w:rsidR="002823BF">
        <w:rPr>
          <w:rFonts w:cs="GBPOJ I+ Helvetica"/>
          <w:sz w:val="23"/>
          <w:szCs w:val="23"/>
          <w:u w:val="single"/>
        </w:rPr>
        <w:t xml:space="preserve">EXAMPLE </w:t>
      </w:r>
    </w:p>
    <w:p w:rsidR="002823BF" w:rsidRDefault="002823BF">
      <w:pPr>
        <w:pStyle w:val="Default"/>
        <w:rPr>
          <w:rFonts w:cstheme="minorBidi"/>
          <w:color w:val="auto"/>
        </w:rPr>
      </w:pPr>
    </w:p>
    <w:p w:rsidR="002823BF" w:rsidRPr="00930196" w:rsidRDefault="0063267E" w:rsidP="00930196">
      <w:pPr>
        <w:pStyle w:val="NoSpacing"/>
        <w:rPr>
          <w:szCs w:val="32"/>
        </w:rPr>
      </w:pPr>
      <w:r w:rsidRPr="00930196">
        <w:rPr>
          <w:szCs w:val="32"/>
        </w:rPr>
        <w:t>*</w:t>
      </w:r>
      <w:r w:rsidRPr="00930196">
        <w:rPr>
          <w:i/>
          <w:sz w:val="20"/>
          <w:szCs w:val="20"/>
        </w:rPr>
        <w:t>As per FEMA’s Unified Hazard Mitigation Assi</w:t>
      </w:r>
      <w:r w:rsidR="00930196" w:rsidRPr="00930196">
        <w:rPr>
          <w:i/>
          <w:sz w:val="20"/>
          <w:szCs w:val="20"/>
        </w:rPr>
        <w:t xml:space="preserve">stance </w:t>
      </w:r>
      <w:r w:rsidRPr="00930196">
        <w:rPr>
          <w:i/>
          <w:sz w:val="20"/>
          <w:szCs w:val="20"/>
        </w:rPr>
        <w:t>Grant Program, Section A.11.2 Valuation Methodologies</w:t>
      </w:r>
      <w:r w:rsidR="00D61228">
        <w:rPr>
          <w:i/>
          <w:sz w:val="20"/>
          <w:szCs w:val="20"/>
        </w:rPr>
        <w:t xml:space="preserve">.  PEMA requires and appraisal </w:t>
      </w:r>
      <w:proofErr w:type="gramStart"/>
      <w:r w:rsidR="00D61228">
        <w:rPr>
          <w:i/>
          <w:sz w:val="20"/>
          <w:szCs w:val="20"/>
        </w:rPr>
        <w:t xml:space="preserve">from </w:t>
      </w:r>
      <w:r w:rsidR="00930196" w:rsidRPr="00930196">
        <w:rPr>
          <w:i/>
          <w:sz w:val="20"/>
          <w:szCs w:val="20"/>
        </w:rPr>
        <w:t xml:space="preserve"> a</w:t>
      </w:r>
      <w:proofErr w:type="gramEnd"/>
      <w:r w:rsidR="00930196" w:rsidRPr="00930196">
        <w:rPr>
          <w:i/>
          <w:sz w:val="20"/>
          <w:szCs w:val="20"/>
        </w:rPr>
        <w:t xml:space="preserve"> state certified residential/general appraiser.</w:t>
      </w:r>
    </w:p>
    <w:p w:rsidR="002823BF" w:rsidRDefault="002823BF">
      <w:pPr>
        <w:pStyle w:val="CM7"/>
        <w:spacing w:after="403" w:line="368" w:lineRule="atLeast"/>
        <w:ind w:right="480"/>
        <w:rPr>
          <w:rFonts w:ascii="GBPOK J+ Helvetica" w:hAnsi="GBPOK J+ Helvetica" w:cs="GBPOK J+ Helvetica"/>
          <w:b/>
          <w:bCs/>
          <w:i/>
          <w:iCs/>
          <w:sz w:val="32"/>
          <w:szCs w:val="32"/>
        </w:rPr>
      </w:pPr>
    </w:p>
    <w:p w:rsidR="00930196" w:rsidRPr="00930196" w:rsidRDefault="00930196" w:rsidP="00930196">
      <w:pPr>
        <w:pStyle w:val="Default"/>
      </w:pPr>
    </w:p>
    <w:p w:rsidR="002823BF" w:rsidRDefault="002823BF">
      <w:pPr>
        <w:pStyle w:val="CM7"/>
        <w:spacing w:after="403" w:line="368" w:lineRule="atLeast"/>
        <w:ind w:right="480"/>
        <w:rPr>
          <w:rFonts w:ascii="GBPOK J+ Helvetica" w:hAnsi="GBPOK J+ Helvetica" w:cs="GBPOK J+ Helvetica"/>
          <w:b/>
          <w:bCs/>
          <w:i/>
          <w:iCs/>
          <w:sz w:val="32"/>
          <w:szCs w:val="32"/>
        </w:rPr>
      </w:pPr>
    </w:p>
    <w:p w:rsidR="002823BF" w:rsidRDefault="002823BF">
      <w:pPr>
        <w:pStyle w:val="CM7"/>
        <w:spacing w:after="403" w:line="368" w:lineRule="atLeast"/>
        <w:ind w:right="480"/>
        <w:rPr>
          <w:rFonts w:ascii="GBPOK J+ Helvetica" w:hAnsi="GBPOK J+ Helvetica" w:cs="GBPOK J+ Helvetica"/>
          <w:sz w:val="32"/>
          <w:szCs w:val="32"/>
        </w:rPr>
      </w:pPr>
      <w:r>
        <w:rPr>
          <w:rFonts w:ascii="GBPOK J+ Helvetica" w:hAnsi="GBPOK J+ Helvetica" w:cs="GBPOK J+ Helvetica"/>
          <w:b/>
          <w:bCs/>
          <w:i/>
          <w:iCs/>
          <w:sz w:val="32"/>
          <w:szCs w:val="32"/>
        </w:rPr>
        <w:lastRenderedPageBreak/>
        <w:t xml:space="preserve">Am I receiving less money for my house? </w:t>
      </w:r>
    </w:p>
    <w:p w:rsidR="002823BF" w:rsidRDefault="002823BF">
      <w:pPr>
        <w:pStyle w:val="CM8"/>
        <w:spacing w:after="120" w:line="276" w:lineRule="atLeast"/>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No, you are not. Based on the example, you have already received funds from the National Flood Insurance Program and Emergency Repair funds from the Federal Emergency Management Agency. </w:t>
      </w:r>
    </w:p>
    <w:p w:rsidR="002823BF" w:rsidRDefault="002823BF">
      <w:pPr>
        <w:pStyle w:val="CM8"/>
        <w:spacing w:after="120" w:line="276" w:lineRule="atLeast"/>
        <w:ind w:right="82"/>
        <w:rPr>
          <w:rFonts w:ascii="GBPOND+TimesNewRomanPSMT" w:hAnsi="GBPOND+TimesNewRomanPSMT" w:cs="GBPOND+TimesNewRomanPSMT"/>
          <w:sz w:val="23"/>
          <w:szCs w:val="23"/>
        </w:rPr>
      </w:pPr>
      <w:r>
        <w:rPr>
          <w:rFonts w:ascii="GBPOND+TimesNewRomanPSMT" w:hAnsi="GBPOND+TimesNewRomanPSMT" w:cs="GBPOND+TimesNewRomanPSMT"/>
          <w:sz w:val="23"/>
          <w:szCs w:val="23"/>
        </w:rPr>
        <w:t xml:space="preserve">Therefore, the total received when the property is sold will be the balance remaining after these two amounts are subtracted. </w:t>
      </w:r>
    </w:p>
    <w:p w:rsidR="002823BF" w:rsidRDefault="002823BF">
      <w:pPr>
        <w:pStyle w:val="CM10"/>
        <w:spacing w:after="357" w:line="276" w:lineRule="atLeast"/>
        <w:rPr>
          <w:rFonts w:ascii="GBPOND+TimesNewRomanPSMT" w:hAnsi="GBPOND+TimesNewRomanPSMT" w:cs="GBPOND+TimesNewRomanPSMT"/>
          <w:sz w:val="23"/>
          <w:szCs w:val="23"/>
        </w:rPr>
      </w:pPr>
      <w:r>
        <w:rPr>
          <w:rFonts w:ascii="GBPOND+TimesNewRomanPSMT" w:hAnsi="GBPOND+TimesNewRomanPSMT" w:cs="GBPOND+TimesNewRomanPSMT"/>
          <w:sz w:val="23"/>
          <w:szCs w:val="23"/>
        </w:rPr>
        <w:t>In other words, you may receive only $</w:t>
      </w:r>
      <w:r w:rsidR="00930196">
        <w:rPr>
          <w:rFonts w:ascii="GBPOND+TimesNewRomanPSMT" w:hAnsi="GBPOND+TimesNewRomanPSMT" w:cs="GBPOND+TimesNewRomanPSMT"/>
          <w:sz w:val="23"/>
          <w:szCs w:val="23"/>
        </w:rPr>
        <w:t>7</w:t>
      </w:r>
      <w:r w:rsidR="00D35848">
        <w:rPr>
          <w:rFonts w:ascii="GBPOND+TimesNewRomanPSMT" w:hAnsi="GBPOND+TimesNewRomanPSMT" w:cs="GBPOND+TimesNewRomanPSMT"/>
          <w:sz w:val="23"/>
          <w:szCs w:val="23"/>
        </w:rPr>
        <w:t>3</w:t>
      </w:r>
      <w:r>
        <w:rPr>
          <w:rFonts w:ascii="GBPOND+TimesNewRomanPSMT" w:hAnsi="GBPOND+TimesNewRomanPSMT" w:cs="GBPOND+TimesNewRomanPSMT"/>
          <w:sz w:val="23"/>
          <w:szCs w:val="23"/>
        </w:rPr>
        <w:t>,000 at closing, but you have previously received $32,000, which has not been spent for repairs (if you can document that you have spent the money to make repairs, it is not deducted). You are actually receiving $</w:t>
      </w:r>
      <w:r w:rsidR="00930196">
        <w:rPr>
          <w:rFonts w:ascii="GBPOND+TimesNewRomanPSMT" w:hAnsi="GBPOND+TimesNewRomanPSMT" w:cs="GBPOND+TimesNewRomanPSMT"/>
          <w:sz w:val="23"/>
          <w:szCs w:val="23"/>
        </w:rPr>
        <w:t>105</w:t>
      </w:r>
      <w:r>
        <w:rPr>
          <w:rFonts w:ascii="GBPOND+TimesNewRomanPSMT" w:hAnsi="GBPOND+TimesNewRomanPSMT" w:cs="GBPOND+TimesNewRomanPSMT"/>
          <w:sz w:val="23"/>
          <w:szCs w:val="23"/>
        </w:rPr>
        <w:t xml:space="preserve">,000 for your flood-damaged house. </w:t>
      </w:r>
    </w:p>
    <w:p w:rsidR="002823BF" w:rsidRDefault="002823BF">
      <w:pPr>
        <w:pStyle w:val="Default"/>
        <w:spacing w:after="1737" w:line="233" w:lineRule="atLeast"/>
        <w:rPr>
          <w:rFonts w:ascii="GBPOND+TimesNewRomanPSMT" w:hAnsi="GBPOND+TimesNewRomanPSMT" w:cs="GBPOND+TimesNewRomanPSMT"/>
          <w:color w:val="auto"/>
          <w:sz w:val="23"/>
          <w:szCs w:val="23"/>
        </w:rPr>
      </w:pPr>
      <w:r>
        <w:rPr>
          <w:rFonts w:ascii="GBPOND+TimesNewRomanPSMT" w:hAnsi="GBPOND+TimesNewRomanPSMT" w:cs="GBPOND+TimesNewRomanPSMT"/>
          <w:color w:val="auto"/>
          <w:sz w:val="23"/>
          <w:szCs w:val="23"/>
        </w:rPr>
        <w:t xml:space="preserve">Summarized resources information taken from Sec. 312 of the Stafford Act (42 USC §5155) and 44 CFR §206.191 </w:t>
      </w:r>
    </w:p>
    <w:p w:rsidR="002823BF" w:rsidRDefault="002823BF">
      <w:pPr>
        <w:pStyle w:val="Default"/>
        <w:spacing w:line="276" w:lineRule="atLeast"/>
        <w:jc w:val="center"/>
        <w:rPr>
          <w:color w:val="auto"/>
          <w:sz w:val="23"/>
          <w:szCs w:val="23"/>
        </w:rPr>
      </w:pPr>
    </w:p>
    <w:p w:rsidR="002823BF" w:rsidRDefault="002823BF">
      <w:pPr>
        <w:pStyle w:val="Default"/>
        <w:spacing w:line="276" w:lineRule="atLeast"/>
        <w:jc w:val="center"/>
        <w:rPr>
          <w:color w:val="auto"/>
          <w:sz w:val="23"/>
          <w:szCs w:val="23"/>
        </w:rPr>
      </w:pPr>
    </w:p>
    <w:p w:rsidR="002823BF" w:rsidRDefault="002823BF">
      <w:pPr>
        <w:pStyle w:val="Default"/>
        <w:spacing w:line="276" w:lineRule="atLeast"/>
        <w:jc w:val="center"/>
        <w:rPr>
          <w:color w:val="auto"/>
          <w:sz w:val="23"/>
          <w:szCs w:val="23"/>
        </w:rPr>
      </w:pPr>
    </w:p>
    <w:p w:rsidR="002823BF" w:rsidRDefault="002823BF">
      <w:pPr>
        <w:pStyle w:val="Default"/>
        <w:spacing w:line="276" w:lineRule="atLeast"/>
        <w:jc w:val="center"/>
        <w:rPr>
          <w:color w:val="auto"/>
          <w:sz w:val="23"/>
          <w:szCs w:val="23"/>
        </w:rPr>
      </w:pPr>
    </w:p>
    <w:p w:rsidR="002823BF" w:rsidRDefault="002823BF">
      <w:pPr>
        <w:pStyle w:val="Default"/>
        <w:spacing w:line="276" w:lineRule="atLeast"/>
        <w:jc w:val="center"/>
        <w:rPr>
          <w:color w:val="auto"/>
          <w:sz w:val="23"/>
          <w:szCs w:val="23"/>
        </w:rPr>
      </w:pPr>
    </w:p>
    <w:p w:rsidR="002823BF" w:rsidRDefault="002823BF">
      <w:pPr>
        <w:pStyle w:val="Default"/>
        <w:spacing w:line="276" w:lineRule="atLeast"/>
        <w:jc w:val="center"/>
        <w:rPr>
          <w:color w:val="auto"/>
          <w:sz w:val="23"/>
          <w:szCs w:val="23"/>
        </w:rPr>
      </w:pPr>
    </w:p>
    <w:p w:rsidR="002823BF" w:rsidRDefault="002823BF">
      <w:pPr>
        <w:pStyle w:val="Default"/>
        <w:spacing w:line="276" w:lineRule="atLeast"/>
        <w:jc w:val="center"/>
        <w:rPr>
          <w:color w:val="auto"/>
          <w:sz w:val="23"/>
          <w:szCs w:val="23"/>
        </w:rPr>
      </w:pPr>
    </w:p>
    <w:p w:rsidR="002823BF" w:rsidRDefault="002823BF">
      <w:pPr>
        <w:pStyle w:val="Default"/>
        <w:spacing w:line="276" w:lineRule="atLeast"/>
        <w:jc w:val="center"/>
      </w:pPr>
      <w:r>
        <w:rPr>
          <w:color w:val="auto"/>
          <w:sz w:val="23"/>
          <w:szCs w:val="23"/>
        </w:rPr>
        <w:t xml:space="preserve"> </w:t>
      </w:r>
    </w:p>
    <w:sectPr w:rsidR="002823BF" w:rsidSect="00B600C7">
      <w:type w:val="continuous"/>
      <w:pgSz w:w="12240" w:h="16340"/>
      <w:pgMar w:top="1008" w:right="479" w:bottom="480" w:left="810" w:header="720" w:footer="720" w:gutter="0"/>
      <w:cols w:num="2" w:space="720" w:equalWidth="0">
        <w:col w:w="4248" w:space="792"/>
        <w:col w:w="4098"/>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BPOJ I+ Helvetica">
    <w:altName w:val="Arial"/>
    <w:panose1 w:val="00000000000000000000"/>
    <w:charset w:val="00"/>
    <w:family w:val="swiss"/>
    <w:notTrueType/>
    <w:pitch w:val="default"/>
    <w:sig w:usb0="00000003" w:usb1="00000000" w:usb2="00000000" w:usb3="00000000" w:csb0="00000001" w:csb1="00000000"/>
  </w:font>
  <w:font w:name="GBPOK J+ Helvetica">
    <w:altName w:val="Arial"/>
    <w:panose1 w:val="00000000000000000000"/>
    <w:charset w:val="00"/>
    <w:family w:val="swiss"/>
    <w:notTrueType/>
    <w:pitch w:val="default"/>
    <w:sig w:usb0="00000003" w:usb1="00000000" w:usb2="00000000" w:usb3="00000000" w:csb0="00000001" w:csb1="00000000"/>
  </w:font>
  <w:font w:name="GBPOND+TimesNewRomanPSMT">
    <w:altName w:val="Times New Roman PSMT"/>
    <w:panose1 w:val="00000000000000000000"/>
    <w:charset w:val="00"/>
    <w:family w:val="roman"/>
    <w:notTrueType/>
    <w:pitch w:val="default"/>
    <w:sig w:usb0="00000003" w:usb1="00000000" w:usb2="00000000" w:usb3="00000000" w:csb0="00000001" w:csb1="00000000"/>
  </w:font>
  <w:font w:name="GCBIHD+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E9166"/>
    <w:multiLevelType w:val="hybridMultilevel"/>
    <w:tmpl w:val="4ADB85E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629F45AE"/>
    <w:multiLevelType w:val="hybridMultilevel"/>
    <w:tmpl w:val="E2F6B534"/>
    <w:lvl w:ilvl="0" w:tplc="0409000D">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4C7"/>
    <w:rsid w:val="002823BF"/>
    <w:rsid w:val="005074F1"/>
    <w:rsid w:val="0063267E"/>
    <w:rsid w:val="0067708D"/>
    <w:rsid w:val="008776F5"/>
    <w:rsid w:val="00930196"/>
    <w:rsid w:val="009D7C0B"/>
    <w:rsid w:val="00A55B35"/>
    <w:rsid w:val="00B600C7"/>
    <w:rsid w:val="00BD0928"/>
    <w:rsid w:val="00C12139"/>
    <w:rsid w:val="00C7333C"/>
    <w:rsid w:val="00CD34C7"/>
    <w:rsid w:val="00D35848"/>
    <w:rsid w:val="00D61228"/>
    <w:rsid w:val="00DA4D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GBPOJ I+ Helvetica" w:hAnsi="GBPOJ I+ Helvetica" w:cs="GBPOJ I+ Helvetic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7">
    <w:name w:val="CM7"/>
    <w:basedOn w:val="Default"/>
    <w:next w:val="Default"/>
    <w:uiPriority w:val="99"/>
    <w:rPr>
      <w:rFonts w:cstheme="minorBidi"/>
      <w:color w:val="auto"/>
    </w:rPr>
  </w:style>
  <w:style w:type="paragraph" w:customStyle="1" w:styleId="CM2">
    <w:name w:val="CM2"/>
    <w:basedOn w:val="Default"/>
    <w:next w:val="Default"/>
    <w:uiPriority w:val="99"/>
    <w:pPr>
      <w:spacing w:line="276" w:lineRule="atLeast"/>
    </w:pPr>
    <w:rPr>
      <w:rFonts w:cstheme="minorBidi"/>
      <w:color w:val="auto"/>
    </w:rPr>
  </w:style>
  <w:style w:type="paragraph" w:customStyle="1" w:styleId="CM8">
    <w:name w:val="CM8"/>
    <w:basedOn w:val="Default"/>
    <w:next w:val="Default"/>
    <w:uiPriority w:val="99"/>
    <w:rPr>
      <w:rFonts w:cstheme="minorBidi"/>
      <w:color w:val="auto"/>
    </w:rPr>
  </w:style>
  <w:style w:type="paragraph" w:customStyle="1" w:styleId="CM3">
    <w:name w:val="CM3"/>
    <w:basedOn w:val="Default"/>
    <w:next w:val="Default"/>
    <w:uiPriority w:val="99"/>
    <w:pPr>
      <w:spacing w:line="276" w:lineRule="atLeast"/>
    </w:pPr>
    <w:rPr>
      <w:rFonts w:cstheme="minorBidi"/>
      <w:color w:val="auto"/>
    </w:rPr>
  </w:style>
  <w:style w:type="paragraph" w:customStyle="1" w:styleId="CM9">
    <w:name w:val="CM9"/>
    <w:basedOn w:val="Default"/>
    <w:next w:val="Default"/>
    <w:uiPriority w:val="99"/>
    <w:rPr>
      <w:rFonts w:cstheme="minorBidi"/>
      <w:color w:val="auto"/>
    </w:rPr>
  </w:style>
  <w:style w:type="paragraph" w:customStyle="1" w:styleId="CM4">
    <w:name w:val="CM4"/>
    <w:basedOn w:val="Default"/>
    <w:next w:val="Default"/>
    <w:uiPriority w:val="99"/>
    <w:pPr>
      <w:spacing w:line="368" w:lineRule="atLeast"/>
    </w:pPr>
    <w:rPr>
      <w:rFonts w:cstheme="minorBidi"/>
      <w:color w:val="auto"/>
    </w:rPr>
  </w:style>
  <w:style w:type="paragraph" w:customStyle="1" w:styleId="CM10">
    <w:name w:val="CM10"/>
    <w:basedOn w:val="Default"/>
    <w:next w:val="Default"/>
    <w:uiPriority w:val="99"/>
    <w:rPr>
      <w:rFonts w:cstheme="minorBidi"/>
      <w:color w:val="auto"/>
    </w:rPr>
  </w:style>
  <w:style w:type="paragraph" w:customStyle="1" w:styleId="CM6">
    <w:name w:val="CM6"/>
    <w:basedOn w:val="Default"/>
    <w:next w:val="Default"/>
    <w:uiPriority w:val="99"/>
    <w:pPr>
      <w:spacing w:line="371" w:lineRule="atLeast"/>
    </w:pPr>
    <w:rPr>
      <w:rFonts w:cstheme="minorBidi"/>
      <w:color w:val="auto"/>
    </w:rPr>
  </w:style>
  <w:style w:type="paragraph" w:styleId="NoSpacing">
    <w:name w:val="No Spacing"/>
    <w:uiPriority w:val="1"/>
    <w:qFormat/>
    <w:rsid w:val="00930196"/>
    <w:pPr>
      <w:spacing w:after="0" w:line="240" w:lineRule="auto"/>
    </w:pPr>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06DFD863AFB344B400B1CB1145C4D4" ma:contentTypeVersion="1" ma:contentTypeDescription="Create a new document." ma:contentTypeScope="" ma:versionID="4afd4cf87ffa8630ae0527eba395d377">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072A77-03AD-4BAB-B399-CE2D0B852B15}"/>
</file>

<file path=customXml/itemProps2.xml><?xml version="1.0" encoding="utf-8"?>
<ds:datastoreItem xmlns:ds="http://schemas.openxmlformats.org/officeDocument/2006/customXml" ds:itemID="{2D705842-E67B-4590-B6E2-ACB8F1281CD6}"/>
</file>

<file path=customXml/itemProps3.xml><?xml version="1.0" encoding="utf-8"?>
<ds:datastoreItem xmlns:ds="http://schemas.openxmlformats.org/officeDocument/2006/customXml" ds:itemID="{5E953E11-4832-42AD-812E-0145B50F3305}"/>
</file>

<file path=customXml/itemProps4.xml><?xml version="1.0" encoding="utf-8"?>
<ds:datastoreItem xmlns:ds="http://schemas.openxmlformats.org/officeDocument/2006/customXml" ds:itemID="{0B6F2330-76B5-456E-A986-C074A609B791}"/>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3146</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I receiving less money for my house</dc:title>
  <dc:subject/>
  <dc:creator>Jeff Rowbotham</dc:creator>
  <cp:keywords/>
  <dc:description/>
  <cp:lastModifiedBy>thughes</cp:lastModifiedBy>
  <cp:revision>3</cp:revision>
  <cp:lastPrinted>2012-03-29T12:31:00Z</cp:lastPrinted>
  <dcterms:created xsi:type="dcterms:W3CDTF">2012-03-29T12:37:00Z</dcterms:created>
  <dcterms:modified xsi:type="dcterms:W3CDTF">2012-03-29T12:38:00Z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0x0101007C06DFD863AFB344B400B1CB1145C4D4</vt:lpwstr>
  </property>
  <property fmtid="{D5CDD505-2E9C-101B-9397-08002B2CF9AE}" pid="3" name="Order">
    <vt:r8>2900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